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11" w:rsidRPr="00110C91" w:rsidRDefault="00452B11" w:rsidP="00452B11">
      <w:pPr>
        <w:framePr w:h="0" w:hSpace="180" w:wrap="around" w:vAnchor="text" w:hAnchor="page" w:x="1806" w:y="1"/>
      </w:pPr>
      <w:r>
        <w:rPr>
          <w:noProof/>
          <w:lang w:val="en-US"/>
        </w:rPr>
        <w:drawing>
          <wp:inline distT="0" distB="0" distL="0" distR="0">
            <wp:extent cx="1123950" cy="1143000"/>
            <wp:effectExtent l="19050" t="0" r="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5" cstate="print"/>
                    <a:srcRect/>
                    <a:stretch>
                      <a:fillRect/>
                    </a:stretch>
                  </pic:blipFill>
                  <pic:spPr bwMode="auto">
                    <a:xfrm>
                      <a:off x="0" y="0"/>
                      <a:ext cx="1123950" cy="1143000"/>
                    </a:xfrm>
                    <a:prstGeom prst="rect">
                      <a:avLst/>
                    </a:prstGeom>
                    <a:noFill/>
                    <a:ln w="9525">
                      <a:noFill/>
                      <a:miter lim="800000"/>
                      <a:headEnd/>
                      <a:tailEnd/>
                    </a:ln>
                  </pic:spPr>
                </pic:pic>
              </a:graphicData>
            </a:graphic>
          </wp:inline>
        </w:drawing>
      </w:r>
    </w:p>
    <w:p w:rsidR="00452B11" w:rsidRPr="00110C91" w:rsidRDefault="00452B11" w:rsidP="00452B11">
      <w:pPr>
        <w:rPr>
          <w:rFonts w:ascii="Arial Cirilica" w:hAnsi="Arial Cirilica"/>
        </w:rPr>
      </w:pPr>
      <w:r>
        <w:rPr>
          <w:lang w:val="sr-Cyrl-CS"/>
        </w:rPr>
        <w:t>КОМОРА ЗДРАВСТВЕНИХ</w:t>
      </w:r>
      <w:r w:rsidRPr="00110C91">
        <w:rPr>
          <w:rFonts w:ascii="Arial Cirilica" w:hAnsi="Arial Cirilica"/>
        </w:rPr>
        <w:t xml:space="preserve"> </w:t>
      </w:r>
    </w:p>
    <w:p w:rsidR="00452B11" w:rsidRDefault="00452B11" w:rsidP="00452B11">
      <w:pPr>
        <w:rPr>
          <w:lang w:val="sr-Cyrl-CS"/>
        </w:rPr>
      </w:pPr>
      <w:r>
        <w:rPr>
          <w:lang w:val="sr-Cyrl-CS"/>
        </w:rPr>
        <w:t>УСТАНОВА СРБИЈЕ</w:t>
      </w:r>
    </w:p>
    <w:p w:rsidR="00452B11" w:rsidRDefault="00452B11" w:rsidP="00452B11">
      <w:pPr>
        <w:rPr>
          <w:lang w:val="sr-Cyrl-CS"/>
        </w:rPr>
      </w:pPr>
      <w:r>
        <w:rPr>
          <w:lang w:val="sr-Cyrl-CS"/>
        </w:rPr>
        <w:t>БЕОГРАД</w:t>
      </w:r>
      <w:r>
        <w:rPr>
          <w:lang w:val="sr-Latn-CS"/>
        </w:rPr>
        <w:t xml:space="preserve">, </w:t>
      </w:r>
      <w:r>
        <w:rPr>
          <w:lang w:val="sr-Cyrl-CS"/>
        </w:rPr>
        <w:t>Хајдук Вељков венац 4-6</w:t>
      </w:r>
    </w:p>
    <w:p w:rsidR="00452B11" w:rsidRDefault="00452B11" w:rsidP="00452B11">
      <w:pPr>
        <w:rPr>
          <w:lang w:val="sr-Cyrl-CS"/>
        </w:rPr>
      </w:pPr>
      <w:r>
        <w:rPr>
          <w:lang w:val="sr-Cyrl-CS"/>
        </w:rPr>
        <w:t>Тел.: 3622-523, 3622-524</w:t>
      </w:r>
    </w:p>
    <w:p w:rsidR="00452B11" w:rsidRDefault="00452B11" w:rsidP="00452B11">
      <w:pPr>
        <w:rPr>
          <w:lang w:val="en-US"/>
        </w:rPr>
      </w:pPr>
      <w:r>
        <w:rPr>
          <w:lang w:val="sr-Cyrl-CS"/>
        </w:rPr>
        <w:t xml:space="preserve">Број: 122-1/17 </w:t>
      </w:r>
    </w:p>
    <w:p w:rsidR="00452B11" w:rsidRDefault="00452B11" w:rsidP="00452B11">
      <w:pPr>
        <w:rPr>
          <w:lang w:val="en-US"/>
        </w:rPr>
      </w:pPr>
      <w:r>
        <w:rPr>
          <w:lang w:val="sr-Cyrl-CS"/>
        </w:rPr>
        <w:t xml:space="preserve">Датум: 27.03.2017. године  </w:t>
      </w:r>
    </w:p>
    <w:p w:rsidR="00452B11" w:rsidRDefault="00452B11" w:rsidP="00452B11"/>
    <w:p w:rsidR="00452B11" w:rsidRPr="00A15C7C" w:rsidRDefault="00452B11" w:rsidP="00452B11"/>
    <w:p w:rsidR="00452B11" w:rsidRPr="00A15C7C" w:rsidRDefault="00452B11" w:rsidP="00452B11"/>
    <w:p w:rsidR="00452B11" w:rsidRPr="00A42215" w:rsidRDefault="00452B11" w:rsidP="00452B11">
      <w:pPr>
        <w:jc w:val="center"/>
        <w:rPr>
          <w:b/>
          <w:lang w:val="sr-Cyrl-CS"/>
        </w:rPr>
      </w:pPr>
      <w:r w:rsidRPr="00A42215">
        <w:rPr>
          <w:b/>
          <w:lang w:val="sr-Cyrl-CS"/>
        </w:rPr>
        <w:t>ЗАПИСНИК</w:t>
      </w:r>
    </w:p>
    <w:p w:rsidR="00452B11" w:rsidRDefault="00452B11" w:rsidP="00452B11">
      <w:pPr>
        <w:jc w:val="center"/>
        <w:rPr>
          <w:b/>
          <w:lang w:val="sr-Cyrl-CS"/>
        </w:rPr>
      </w:pPr>
      <w:r>
        <w:rPr>
          <w:b/>
          <w:lang w:val="sr-Cyrl-CS"/>
        </w:rPr>
        <w:t>СА 11</w:t>
      </w:r>
      <w:r w:rsidRPr="00A42215">
        <w:rPr>
          <w:b/>
          <w:lang w:val="sr-Cyrl-CS"/>
        </w:rPr>
        <w:t>. СЕДНИЦЕ УПРАВНОГ ОДБОРА КОМОРЕ ЗДРАВСТВЕ</w:t>
      </w:r>
      <w:r>
        <w:rPr>
          <w:b/>
          <w:lang w:val="sr-Cyrl-CS"/>
        </w:rPr>
        <w:t>НИХ УСТАНОВА СРБИЈЕ, ОДРЖАНЕ  23.03.2017</w:t>
      </w:r>
      <w:r w:rsidRPr="00A42215">
        <w:rPr>
          <w:b/>
          <w:lang w:val="sr-Cyrl-CS"/>
        </w:rPr>
        <w:t xml:space="preserve">. ГОДИНЕ, У </w:t>
      </w:r>
      <w:r>
        <w:rPr>
          <w:b/>
          <w:lang w:val="sr-Cyrl-CS"/>
        </w:rPr>
        <w:t>ИНСТИТУТУ ЗА РЕХАБИЛИТАЦИЈУ БЕОГРАД -  „СЕЛТЕРС“ МЛАДЕНОВАЦ</w:t>
      </w:r>
    </w:p>
    <w:p w:rsidR="00452B11" w:rsidRPr="0002223F" w:rsidRDefault="00452B11" w:rsidP="00452B11">
      <w:pPr>
        <w:jc w:val="center"/>
        <w:rPr>
          <w:b/>
        </w:rPr>
      </w:pPr>
    </w:p>
    <w:p w:rsidR="00452B11" w:rsidRDefault="00452B11" w:rsidP="00452B11"/>
    <w:p w:rsidR="00452B11" w:rsidRDefault="00452B11" w:rsidP="00452B11">
      <w:pPr>
        <w:ind w:firstLine="720"/>
        <w:jc w:val="both"/>
      </w:pPr>
      <w:r>
        <w:t>Седница је почела са радом у 11,50 часова.</w:t>
      </w:r>
    </w:p>
    <w:p w:rsidR="00452B11" w:rsidRDefault="00452B11" w:rsidP="00452B11">
      <w:pPr>
        <w:ind w:firstLine="720"/>
        <w:jc w:val="both"/>
      </w:pPr>
      <w:r>
        <w:t xml:space="preserve">Поред чланова Управног одбора, седници су присуствовали проф. др Христо Анђелски, главни и одговорни уредник часописа „Здравствена заштита“ и Срђан Срданов, вршилац дужности секретара Коморе. </w:t>
      </w:r>
    </w:p>
    <w:p w:rsidR="00452B11" w:rsidRDefault="00452B11" w:rsidP="00452B11">
      <w:pPr>
        <w:ind w:firstLine="720"/>
        <w:jc w:val="both"/>
      </w:pPr>
      <w:r>
        <w:t xml:space="preserve">Председник Управног одбора проф. др Георгиос Константинидис констатовао је постојање кворума за пуноважан рад и одлучивање и, уз извињење због кашњења почетка седнице, захвалио се присутнима на стрпљењу и разумевању. </w:t>
      </w:r>
    </w:p>
    <w:p w:rsidR="00452B11" w:rsidRDefault="00452B11" w:rsidP="00452B11">
      <w:pPr>
        <w:ind w:firstLine="720"/>
        <w:jc w:val="both"/>
      </w:pPr>
      <w:r>
        <w:t>Затим је прочитао предложени дневни ред за седницу, са известиоцима.</w:t>
      </w:r>
    </w:p>
    <w:p w:rsidR="00452B11" w:rsidRDefault="00452B11" w:rsidP="00452B11">
      <w:pPr>
        <w:ind w:firstLine="720"/>
        <w:jc w:val="both"/>
      </w:pPr>
      <w:r>
        <w:t>Пошто није било предлога за допуну, чланови Управног одбора једногласно су усвојили</w:t>
      </w:r>
    </w:p>
    <w:p w:rsidR="00452B11" w:rsidRDefault="00452B11" w:rsidP="00452B11">
      <w:pPr>
        <w:ind w:firstLine="720"/>
        <w:jc w:val="both"/>
      </w:pPr>
    </w:p>
    <w:p w:rsidR="00452B11" w:rsidRDefault="00452B11" w:rsidP="00452B11">
      <w:pPr>
        <w:ind w:firstLine="720"/>
        <w:jc w:val="both"/>
      </w:pPr>
    </w:p>
    <w:p w:rsidR="00452B11" w:rsidRPr="00544104" w:rsidRDefault="00452B11" w:rsidP="00452B11">
      <w:pPr>
        <w:jc w:val="center"/>
        <w:rPr>
          <w:b/>
          <w:bCs/>
          <w:iCs/>
          <w:lang w:val="sr-Cyrl-CS"/>
        </w:rPr>
      </w:pPr>
      <w:r w:rsidRPr="00A15C7C">
        <w:rPr>
          <w:b/>
          <w:bCs/>
          <w:iCs/>
          <w:lang w:val="sr-Cyrl-CS"/>
        </w:rPr>
        <w:t>ДНЕВНИ РЕД</w:t>
      </w:r>
    </w:p>
    <w:p w:rsidR="00452B11" w:rsidRPr="00A15C7C" w:rsidRDefault="00452B11" w:rsidP="00452B11">
      <w:pPr>
        <w:jc w:val="center"/>
        <w:rPr>
          <w:b/>
          <w:bCs/>
          <w:iCs/>
          <w:lang w:val="en-US"/>
        </w:rPr>
      </w:pPr>
    </w:p>
    <w:p w:rsidR="00452B11" w:rsidRDefault="00452B11" w:rsidP="00452B11">
      <w:pPr>
        <w:rPr>
          <w:lang w:val="sr-Cyrl-CS"/>
        </w:rPr>
      </w:pPr>
      <w:r>
        <w:rPr>
          <w:lang w:val="en-US"/>
        </w:rPr>
        <w:t xml:space="preserve">            </w:t>
      </w:r>
      <w:r>
        <w:rPr>
          <w:lang w:val="sr-Cyrl-CS"/>
        </w:rPr>
        <w:t xml:space="preserve">1.  Усвајање записника са </w:t>
      </w:r>
      <w:r>
        <w:rPr>
          <w:lang w:val="en-US"/>
        </w:rPr>
        <w:t>10</w:t>
      </w:r>
      <w:r>
        <w:rPr>
          <w:lang w:val="sr-Cyrl-CS"/>
        </w:rPr>
        <w:t xml:space="preserve">. седнице Управног одбора Коморе здравствених </w:t>
      </w:r>
    </w:p>
    <w:p w:rsidR="00452B11" w:rsidRDefault="00452B11" w:rsidP="00452B11">
      <w:pPr>
        <w:ind w:firstLine="720"/>
      </w:pPr>
      <w:r>
        <w:rPr>
          <w:lang w:val="sr-Cyrl-CS"/>
        </w:rPr>
        <w:t xml:space="preserve">      установа Србије, одржане </w:t>
      </w:r>
      <w:r>
        <w:rPr>
          <w:lang w:val="en-US"/>
        </w:rPr>
        <w:t>11</w:t>
      </w:r>
      <w:r>
        <w:rPr>
          <w:lang w:val="sr-Cyrl-CS"/>
        </w:rPr>
        <w:t>.</w:t>
      </w:r>
      <w:r>
        <w:rPr>
          <w:lang w:val="en-US"/>
        </w:rPr>
        <w:t>0</w:t>
      </w:r>
      <w:r>
        <w:rPr>
          <w:lang w:val="sr-Cyrl-CS"/>
        </w:rPr>
        <w:t>1.201</w:t>
      </w:r>
      <w:r>
        <w:rPr>
          <w:lang w:val="en-US"/>
        </w:rPr>
        <w:t>7</w:t>
      </w:r>
      <w:r>
        <w:rPr>
          <w:lang w:val="sr-Cyrl-CS"/>
        </w:rPr>
        <w:t>. године</w:t>
      </w:r>
      <w:r>
        <w:t>;</w:t>
      </w:r>
    </w:p>
    <w:p w:rsidR="00452B11" w:rsidRPr="007B4233" w:rsidRDefault="00452B11" w:rsidP="00452B11">
      <w:pPr>
        <w:ind w:firstLine="720"/>
        <w:rPr>
          <w:sz w:val="4"/>
          <w:szCs w:val="4"/>
        </w:rPr>
      </w:pPr>
    </w:p>
    <w:p w:rsidR="00452B11" w:rsidRDefault="00452B11" w:rsidP="00452B11">
      <w:pPr>
        <w:numPr>
          <w:ilvl w:val="0"/>
          <w:numId w:val="1"/>
        </w:numPr>
        <w:rPr>
          <w:lang w:val="sr-Cyrl-CS"/>
        </w:rPr>
      </w:pPr>
      <w:r>
        <w:rPr>
          <w:lang w:val="sr-Cyrl-CS"/>
        </w:rPr>
        <w:t>Утврђивање предлога Извештаја о раду Коморе за 201</w:t>
      </w:r>
      <w:r>
        <w:rPr>
          <w:lang w:val="en-US"/>
        </w:rPr>
        <w:t>6</w:t>
      </w:r>
      <w:r>
        <w:rPr>
          <w:lang w:val="sr-Cyrl-CS"/>
        </w:rPr>
        <w:t>. годину (известилац</w:t>
      </w:r>
      <w:r>
        <w:t>:</w:t>
      </w:r>
      <w:r>
        <w:rPr>
          <w:lang w:val="sr-Cyrl-CS"/>
        </w:rPr>
        <w:t xml:space="preserve"> </w:t>
      </w:r>
    </w:p>
    <w:p w:rsidR="00452B11" w:rsidRDefault="00452B11" w:rsidP="00452B11">
      <w:pPr>
        <w:ind w:left="1080"/>
        <w:rPr>
          <w:lang w:val="sr-Cyrl-CS"/>
        </w:rPr>
      </w:pPr>
      <w:r>
        <w:rPr>
          <w:lang w:val="en-US"/>
        </w:rPr>
        <w:t xml:space="preserve">Срђан </w:t>
      </w:r>
      <w:r>
        <w:t>С</w:t>
      </w:r>
      <w:r>
        <w:rPr>
          <w:lang w:val="en-US"/>
        </w:rPr>
        <w:t>рданов</w:t>
      </w:r>
      <w:r>
        <w:rPr>
          <w:lang w:val="sr-Cyrl-CS"/>
        </w:rPr>
        <w:t>);</w:t>
      </w:r>
    </w:p>
    <w:p w:rsidR="00452B11" w:rsidRPr="000171EB" w:rsidRDefault="00452B11" w:rsidP="00452B11">
      <w:pPr>
        <w:ind w:left="1080"/>
        <w:rPr>
          <w:sz w:val="4"/>
          <w:szCs w:val="4"/>
        </w:rPr>
      </w:pPr>
    </w:p>
    <w:p w:rsidR="00452B11" w:rsidRDefault="00452B11" w:rsidP="00452B11">
      <w:pPr>
        <w:pStyle w:val="ListParagraph"/>
        <w:numPr>
          <w:ilvl w:val="0"/>
          <w:numId w:val="1"/>
        </w:numPr>
        <w:rPr>
          <w:lang w:val="sr-Cyrl-CS"/>
        </w:rPr>
      </w:pPr>
      <w:r>
        <w:rPr>
          <w:lang w:val="sr-Cyrl-CS"/>
        </w:rPr>
        <w:t xml:space="preserve">Утврђивање предлога Извештаја о финансијском пословању Коморе за 2016. </w:t>
      </w:r>
    </w:p>
    <w:p w:rsidR="00452B11" w:rsidRPr="00F93838" w:rsidRDefault="00452B11" w:rsidP="00452B11">
      <w:pPr>
        <w:ind w:firstLine="720"/>
      </w:pPr>
      <w:r>
        <w:rPr>
          <w:lang w:val="sr-Cyrl-CS"/>
        </w:rPr>
        <w:t xml:space="preserve">       годину (известилац</w:t>
      </w:r>
      <w:r>
        <w:t>:</w:t>
      </w:r>
      <w:r>
        <w:rPr>
          <w:lang w:val="sr-Cyrl-CS"/>
        </w:rPr>
        <w:t xml:space="preserve"> </w:t>
      </w:r>
      <w:r>
        <w:rPr>
          <w:lang w:val="en-US"/>
        </w:rPr>
        <w:t xml:space="preserve">Срђан </w:t>
      </w:r>
      <w:r>
        <w:t>С</w:t>
      </w:r>
      <w:r>
        <w:rPr>
          <w:lang w:val="en-US"/>
        </w:rPr>
        <w:t>рданов</w:t>
      </w:r>
      <w:r>
        <w:rPr>
          <w:lang w:val="sr-Cyrl-CS"/>
        </w:rPr>
        <w:t>)</w:t>
      </w:r>
      <w:r>
        <w:t>,</w:t>
      </w:r>
    </w:p>
    <w:p w:rsidR="00452B11" w:rsidRDefault="00452B11" w:rsidP="00452B11">
      <w:pPr>
        <w:ind w:firstLine="720"/>
      </w:pPr>
      <w:r>
        <w:t xml:space="preserve">       - извршење Финансијског плана Коморе за 2016. годину,</w:t>
      </w:r>
    </w:p>
    <w:p w:rsidR="00452B11" w:rsidRDefault="00452B11" w:rsidP="00452B11">
      <w:pPr>
        <w:ind w:firstLine="720"/>
      </w:pPr>
      <w:r>
        <w:t xml:space="preserve">       - Биланс стања, Биланс успеха, Статистички извештај,</w:t>
      </w:r>
    </w:p>
    <w:p w:rsidR="00452B11" w:rsidRPr="00A13AB9" w:rsidRDefault="00452B11" w:rsidP="00452B11">
      <w:pPr>
        <w:ind w:firstLine="720"/>
      </w:pPr>
      <w:r>
        <w:t xml:space="preserve">       - Напомене уз финансијске извештаје,</w:t>
      </w:r>
    </w:p>
    <w:p w:rsidR="00452B11" w:rsidRDefault="00452B11" w:rsidP="00452B11">
      <w:pPr>
        <w:ind w:firstLine="720"/>
      </w:pPr>
      <w:r>
        <w:t xml:space="preserve">       - доношење Одлуке о покрићу вишка расхода над приходима;</w:t>
      </w:r>
    </w:p>
    <w:p w:rsidR="00452B11" w:rsidRPr="000171EB" w:rsidRDefault="00452B11" w:rsidP="00452B11">
      <w:pPr>
        <w:ind w:firstLine="720"/>
        <w:rPr>
          <w:sz w:val="4"/>
          <w:szCs w:val="4"/>
        </w:rPr>
      </w:pPr>
    </w:p>
    <w:p w:rsidR="00452B11" w:rsidRDefault="00452B11" w:rsidP="00452B11">
      <w:pPr>
        <w:ind w:firstLine="720"/>
      </w:pPr>
      <w:r>
        <w:rPr>
          <w:lang w:val="sr-Cyrl-CS"/>
        </w:rPr>
        <w:t>4.</w:t>
      </w:r>
      <w:r>
        <w:rPr>
          <w:lang w:val="ru-RU"/>
        </w:rPr>
        <w:t xml:space="preserve">   </w:t>
      </w:r>
      <w:r>
        <w:rPr>
          <w:lang w:val="sr-Cyrl-CS"/>
        </w:rPr>
        <w:t>Утврђивање предлога Плана рада Коморе за 2017. годину (известилац</w:t>
      </w:r>
      <w:r>
        <w:t>:</w:t>
      </w:r>
      <w:r>
        <w:rPr>
          <w:lang w:val="sr-Cyrl-CS"/>
        </w:rPr>
        <w:t xml:space="preserve"> </w:t>
      </w:r>
      <w:r>
        <w:rPr>
          <w:lang w:val="en-US"/>
        </w:rPr>
        <w:t xml:space="preserve">Срђан </w:t>
      </w:r>
      <w:r>
        <w:t xml:space="preserve">  </w:t>
      </w:r>
    </w:p>
    <w:p w:rsidR="00452B11" w:rsidRDefault="00452B11" w:rsidP="00452B11">
      <w:pPr>
        <w:ind w:firstLine="720"/>
        <w:rPr>
          <w:lang w:val="sr-Cyrl-CS"/>
        </w:rPr>
      </w:pPr>
      <w:r>
        <w:t xml:space="preserve">      С</w:t>
      </w:r>
      <w:r>
        <w:rPr>
          <w:lang w:val="en-US"/>
        </w:rPr>
        <w:t>рданов</w:t>
      </w:r>
      <w:r>
        <w:rPr>
          <w:lang w:val="sr-Cyrl-CS"/>
        </w:rPr>
        <w:t>);</w:t>
      </w:r>
    </w:p>
    <w:p w:rsidR="00452B11" w:rsidRPr="000171EB" w:rsidRDefault="00452B11" w:rsidP="00452B11">
      <w:pPr>
        <w:ind w:firstLine="720"/>
        <w:rPr>
          <w:sz w:val="4"/>
          <w:szCs w:val="4"/>
          <w:lang w:val="sr-Cyrl-CS"/>
        </w:rPr>
      </w:pPr>
      <w:r>
        <w:rPr>
          <w:lang w:val="sr-Cyrl-CS"/>
        </w:rPr>
        <w:t xml:space="preserve">    </w:t>
      </w:r>
    </w:p>
    <w:p w:rsidR="00452B11" w:rsidRDefault="00452B11" w:rsidP="00452B11">
      <w:pPr>
        <w:ind w:firstLine="720"/>
        <w:rPr>
          <w:lang w:val="sr-Cyrl-CS"/>
        </w:rPr>
      </w:pPr>
      <w:r>
        <w:rPr>
          <w:lang w:val="sr-Cyrl-CS"/>
        </w:rPr>
        <w:t>5.   Утврђивање предлога Финансијског плана Коморе за 2017. годину (известилац</w:t>
      </w:r>
      <w:r>
        <w:t>:</w:t>
      </w:r>
      <w:r>
        <w:rPr>
          <w:lang w:val="sr-Cyrl-CS"/>
        </w:rPr>
        <w:t xml:space="preserve">  </w:t>
      </w:r>
    </w:p>
    <w:p w:rsidR="00452B11" w:rsidRDefault="00452B11" w:rsidP="00452B11">
      <w:pPr>
        <w:jc w:val="both"/>
      </w:pPr>
      <w:r>
        <w:rPr>
          <w:lang w:val="sr-Cyrl-CS"/>
        </w:rPr>
        <w:t xml:space="preserve">                  </w:t>
      </w:r>
      <w:r>
        <w:rPr>
          <w:lang w:val="en-US"/>
        </w:rPr>
        <w:t xml:space="preserve">Срђан </w:t>
      </w:r>
      <w:r>
        <w:t>С</w:t>
      </w:r>
      <w:r>
        <w:rPr>
          <w:lang w:val="en-US"/>
        </w:rPr>
        <w:t>рданов</w:t>
      </w:r>
      <w:r>
        <w:rPr>
          <w:lang w:val="sr-Cyrl-CS"/>
        </w:rPr>
        <w:t>)</w:t>
      </w:r>
      <w:r>
        <w:t>;</w:t>
      </w:r>
    </w:p>
    <w:p w:rsidR="00452B11" w:rsidRPr="000171EB" w:rsidRDefault="00452B11" w:rsidP="00452B11">
      <w:pPr>
        <w:jc w:val="both"/>
        <w:rPr>
          <w:sz w:val="4"/>
          <w:szCs w:val="4"/>
        </w:rPr>
      </w:pPr>
    </w:p>
    <w:p w:rsidR="00452B11" w:rsidRDefault="00452B11" w:rsidP="00452B11">
      <w:pPr>
        <w:ind w:left="720"/>
        <w:jc w:val="both"/>
      </w:pPr>
      <w:r>
        <w:t xml:space="preserve">6.   Усвајање Извештаја о попису имовине и обавеза Коморе здравствених установа  </w:t>
      </w:r>
    </w:p>
    <w:p w:rsidR="00452B11" w:rsidRDefault="00452B11" w:rsidP="00452B11">
      <w:pPr>
        <w:jc w:val="both"/>
      </w:pPr>
      <w:r>
        <w:t xml:space="preserve">                  Србије са стањем на дан 31.12.2016. године (известилац: Драга Корићанац); </w:t>
      </w:r>
    </w:p>
    <w:p w:rsidR="00452B11" w:rsidRPr="000171EB" w:rsidRDefault="00452B11" w:rsidP="00452B11">
      <w:pPr>
        <w:jc w:val="both"/>
        <w:rPr>
          <w:sz w:val="4"/>
          <w:szCs w:val="4"/>
        </w:rPr>
      </w:pPr>
    </w:p>
    <w:p w:rsidR="00452B11" w:rsidRPr="00EE7A51" w:rsidRDefault="00452B11" w:rsidP="00452B11">
      <w:pPr>
        <w:pStyle w:val="ListParagraph"/>
        <w:numPr>
          <w:ilvl w:val="0"/>
          <w:numId w:val="2"/>
        </w:numPr>
        <w:jc w:val="both"/>
        <w:rPr>
          <w:lang w:val="sr-Cyrl-CS"/>
        </w:rPr>
      </w:pPr>
      <w:r w:rsidRPr="00EE7A51">
        <w:rPr>
          <w:lang w:val="sr-Cyrl-CS"/>
        </w:rPr>
        <w:lastRenderedPageBreak/>
        <w:t xml:space="preserve">Усвајање Извештаја Уредништва часописа </w:t>
      </w:r>
      <w:r w:rsidRPr="00EE7A51">
        <w:rPr>
          <w:lang w:val="ru-RU"/>
        </w:rPr>
        <w:t>"</w:t>
      </w:r>
      <w:r w:rsidRPr="00EE7A51">
        <w:rPr>
          <w:lang w:val="sr-Cyrl-CS"/>
        </w:rPr>
        <w:t>Здравствена заштита</w:t>
      </w:r>
      <w:r w:rsidRPr="00EE7A51">
        <w:rPr>
          <w:lang w:val="ru-RU"/>
        </w:rPr>
        <w:t>"</w:t>
      </w:r>
      <w:r w:rsidRPr="00EE7A51">
        <w:rPr>
          <w:lang w:val="sr-Cyrl-CS"/>
        </w:rPr>
        <w:t xml:space="preserve"> за </w:t>
      </w:r>
      <w:r>
        <w:rPr>
          <w:lang w:val="sr-Cyrl-CS"/>
        </w:rPr>
        <w:t>2016</w:t>
      </w:r>
      <w:r w:rsidRPr="00EE7A51">
        <w:rPr>
          <w:lang w:val="sr-Cyrl-CS"/>
        </w:rPr>
        <w:t xml:space="preserve">.  </w:t>
      </w:r>
    </w:p>
    <w:p w:rsidR="00452B11" w:rsidRDefault="00452B11" w:rsidP="00452B11">
      <w:pPr>
        <w:jc w:val="both"/>
        <w:rPr>
          <w:lang w:val="sr-Cyrl-CS"/>
        </w:rPr>
      </w:pPr>
      <w:r>
        <w:rPr>
          <w:lang w:val="sr-Cyrl-CS"/>
        </w:rPr>
        <w:t xml:space="preserve">                  годину</w:t>
      </w:r>
      <w:r>
        <w:t xml:space="preserve"> и у</w:t>
      </w:r>
      <w:r>
        <w:rPr>
          <w:lang w:val="sr-Cyrl-CS"/>
        </w:rPr>
        <w:t xml:space="preserve">свајање Програмске оријентације и Плана издавања часописа </w:t>
      </w:r>
    </w:p>
    <w:p w:rsidR="00452B11" w:rsidRPr="00577B14" w:rsidRDefault="00452B11" w:rsidP="00452B11">
      <w:pPr>
        <w:jc w:val="both"/>
      </w:pPr>
      <w:r>
        <w:rPr>
          <w:lang w:val="sr-Cyrl-CS"/>
        </w:rPr>
        <w:t xml:space="preserve">                </w:t>
      </w:r>
      <w:r>
        <w:rPr>
          <w:lang w:val="ru-RU"/>
        </w:rPr>
        <w:t>"</w:t>
      </w:r>
      <w:r>
        <w:rPr>
          <w:lang w:val="sr-Cyrl-CS"/>
        </w:rPr>
        <w:t>Здравствена заштита</w:t>
      </w:r>
      <w:r>
        <w:rPr>
          <w:lang w:val="ru-RU"/>
        </w:rPr>
        <w:t>"</w:t>
      </w:r>
      <w:r>
        <w:rPr>
          <w:lang w:val="sr-Cyrl-CS"/>
        </w:rPr>
        <w:t xml:space="preserve"> у 2017. години (известилац</w:t>
      </w:r>
      <w:r>
        <w:t>:</w:t>
      </w:r>
      <w:r>
        <w:rPr>
          <w:lang w:val="sr-Cyrl-CS"/>
        </w:rPr>
        <w:t xml:space="preserve"> проф. др Христо Анђелски)</w:t>
      </w:r>
      <w:r>
        <w:t>;</w:t>
      </w:r>
    </w:p>
    <w:p w:rsidR="00452B11" w:rsidRPr="00A15C7C" w:rsidRDefault="00452B11" w:rsidP="00452B11">
      <w:pPr>
        <w:pStyle w:val="ListParagraph"/>
        <w:numPr>
          <w:ilvl w:val="0"/>
          <w:numId w:val="2"/>
        </w:numPr>
        <w:jc w:val="both"/>
      </w:pPr>
      <w:r>
        <w:t>Текућа питања.</w:t>
      </w:r>
    </w:p>
    <w:p w:rsidR="00452B11" w:rsidRDefault="00452B11" w:rsidP="00452B11">
      <w:pPr>
        <w:jc w:val="both"/>
      </w:pPr>
    </w:p>
    <w:p w:rsidR="00452B11" w:rsidRPr="00A15C7C" w:rsidRDefault="00452B11" w:rsidP="00452B11">
      <w:pPr>
        <w:jc w:val="both"/>
      </w:pPr>
    </w:p>
    <w:p w:rsidR="00452B11" w:rsidRPr="00A15C7C" w:rsidRDefault="00452B11" w:rsidP="00452B11">
      <w:pPr>
        <w:ind w:firstLine="720"/>
        <w:jc w:val="both"/>
        <w:rPr>
          <w:b/>
        </w:rPr>
      </w:pPr>
      <w:r w:rsidRPr="00A15C7C">
        <w:rPr>
          <w:b/>
        </w:rPr>
        <w:t xml:space="preserve">ТАЧКА 1. </w:t>
      </w:r>
    </w:p>
    <w:p w:rsidR="00452B11" w:rsidRDefault="00452B11" w:rsidP="00452B11">
      <w:pPr>
        <w:jc w:val="both"/>
        <w:rPr>
          <w:lang w:val="sr-Cyrl-CS"/>
        </w:rPr>
      </w:pPr>
    </w:p>
    <w:p w:rsidR="00452B11" w:rsidRDefault="00452B11" w:rsidP="00452B11">
      <w:pPr>
        <w:ind w:firstLine="720"/>
        <w:jc w:val="both"/>
      </w:pPr>
      <w:r>
        <w:t>Записник са 10. седнице Управног одбора Коморе здравствених установа Србије, одржане 11.01.2017. године, усвојен је једногласно, без примедби.</w:t>
      </w:r>
    </w:p>
    <w:p w:rsidR="00452B11" w:rsidRDefault="00452B11" w:rsidP="00452B11">
      <w:pPr>
        <w:ind w:firstLine="720"/>
        <w:jc w:val="both"/>
      </w:pPr>
    </w:p>
    <w:p w:rsidR="00452B11" w:rsidRDefault="00452B11" w:rsidP="00452B11">
      <w:pPr>
        <w:ind w:firstLine="720"/>
        <w:jc w:val="both"/>
      </w:pPr>
    </w:p>
    <w:p w:rsidR="00452B11" w:rsidRDefault="00452B11" w:rsidP="00452B11">
      <w:pPr>
        <w:ind w:firstLine="720"/>
        <w:jc w:val="both"/>
        <w:rPr>
          <w:b/>
        </w:rPr>
      </w:pPr>
      <w:r>
        <w:rPr>
          <w:b/>
        </w:rPr>
        <w:t>ТАЧКА 2.</w:t>
      </w:r>
    </w:p>
    <w:p w:rsidR="00452B11" w:rsidRDefault="00452B11" w:rsidP="00452B11">
      <w:pPr>
        <w:ind w:firstLine="720"/>
        <w:jc w:val="both"/>
        <w:rPr>
          <w:b/>
        </w:rPr>
      </w:pPr>
    </w:p>
    <w:p w:rsidR="00452B11" w:rsidRDefault="00452B11" w:rsidP="00452B11">
      <w:pPr>
        <w:ind w:firstLine="720"/>
        <w:jc w:val="both"/>
      </w:pPr>
      <w:r>
        <w:t>Срђан Срданов, вршилац дужности секретара Коморе, рекао је да Извештај о раду Коморе садржи преглед активности које је Комора остварила у 2016. години, преко својих органа и радних тела, али и у оквиру Медицинског форума, при Привредној комори Србије, као и на међународном нивоу, у оквиру Европске асоцијације болница (НОРЕ), чији је Комора члан. Као најзначајније активности Коморе у претходној години издвојио је подношење Иницијативе Управном одбору РФЗО за измену Правилника о уговарању здравствене заштите за 2016. годину, у делу висине средстава опредељених за накнаду материјалних и осталих трошкова здравственим установама. Сматрајући ова средства недовољним за испуњавање законских обавеза здравствених установа у овој области, Комора је Иницијативом предложила да се накнада повећа са 1% на 15% вредности средстава за ове намене. Нажалост, РФЗО је ову Иницијативу само делимично прихватио.</w:t>
      </w:r>
    </w:p>
    <w:p w:rsidR="00452B11" w:rsidRDefault="00452B11" w:rsidP="00452B11">
      <w:pPr>
        <w:ind w:firstLine="720"/>
        <w:jc w:val="both"/>
      </w:pPr>
      <w:r>
        <w:t xml:space="preserve">Значајна је била и активност Коморе у оквиру јавне расправе на нацрте Закона о здравственој заштити и Закона о здравственом осигурању, покренуте од стране Министарства здравља. Стручна служба Коморе сачинила је иницијални текст примедби, предлога и сугестија на нацрте ових закона и позвала здравствене установе да и оне дају своје примедбе и предлоге. Обједињене примедбе, предлоге и сугестије на нацрте Закона о здравственој заштити и Закона о здравственом осигурању Комора је доставила Министарству здравља, а са истима је упознала и чланове Медицинског форума. </w:t>
      </w:r>
    </w:p>
    <w:p w:rsidR="00452B11" w:rsidRDefault="00452B11" w:rsidP="00452B11">
      <w:pPr>
        <w:ind w:firstLine="720"/>
        <w:jc w:val="both"/>
      </w:pPr>
      <w:r>
        <w:t>Срђан Срданов рекао је и да је Комора редовно разматрала финансијску ситуацију здравствених установа и адекватно реаговала на све актуелне проблеме установа из ове области. Стручна служба Коморе активно је пружала стручну помоћ здравственим установама. Комора је у 2016. години одржала два, већ традиционална саветовања, на којима су учествовали еминентни предавачи, а присуствовао завидан број представника здравствених установа. Објављена су и четири броја часописа „Здравствена заштита“, који се бесплатно доставља свим адресатима. Билтен Коморе, као интерно гласило, у 2016. години, због штедње, био је презентован само у електронској форми.</w:t>
      </w:r>
    </w:p>
    <w:p w:rsidR="00452B11" w:rsidRPr="00B67006" w:rsidRDefault="00452B11" w:rsidP="00452B11">
      <w:pPr>
        <w:ind w:firstLine="720"/>
        <w:jc w:val="both"/>
      </w:pPr>
      <w:r>
        <w:t>Након излагања в.д. секретара Коморе, чланови Управног одбора једногласно су донели</w:t>
      </w:r>
    </w:p>
    <w:p w:rsidR="00452B11" w:rsidRPr="00940EA0" w:rsidRDefault="00452B11" w:rsidP="00452B11">
      <w:pPr>
        <w:spacing w:before="60" w:line="240" w:lineRule="exact"/>
        <w:jc w:val="center"/>
        <w:rPr>
          <w:b/>
          <w:bCs/>
          <w:lang w:val="sr-Cyrl-CS"/>
        </w:rPr>
      </w:pPr>
      <w:r w:rsidRPr="00940EA0">
        <w:rPr>
          <w:b/>
          <w:bCs/>
          <w:lang w:val="sr-Cyrl-CS"/>
        </w:rPr>
        <w:t>ОДЛУКУ</w:t>
      </w:r>
    </w:p>
    <w:p w:rsidR="00452B11" w:rsidRDefault="00452B11" w:rsidP="00452B11">
      <w:pPr>
        <w:spacing w:before="60" w:line="240" w:lineRule="exact"/>
        <w:jc w:val="both"/>
        <w:rPr>
          <w:lang w:val="sr-Cyrl-CS"/>
        </w:rPr>
      </w:pPr>
    </w:p>
    <w:p w:rsidR="00452B11" w:rsidRDefault="00452B11" w:rsidP="00452B11">
      <w:pPr>
        <w:pStyle w:val="ListParagraph"/>
        <w:numPr>
          <w:ilvl w:val="0"/>
          <w:numId w:val="3"/>
        </w:numPr>
        <w:spacing w:before="60" w:line="240" w:lineRule="exact"/>
        <w:contextualSpacing w:val="0"/>
        <w:jc w:val="both"/>
        <w:rPr>
          <w:lang w:val="sr-Cyrl-CS"/>
        </w:rPr>
      </w:pPr>
      <w:r>
        <w:rPr>
          <w:lang w:val="sr-Cyrl-CS"/>
        </w:rPr>
        <w:t>Утврђује се предлог Извештаја о раду Коморе здравствених установа Србије за 2016. годину.</w:t>
      </w:r>
    </w:p>
    <w:p w:rsidR="00452B11" w:rsidRDefault="00452B11" w:rsidP="00452B11">
      <w:pPr>
        <w:pStyle w:val="ListParagraph"/>
        <w:numPr>
          <w:ilvl w:val="0"/>
          <w:numId w:val="3"/>
        </w:numPr>
        <w:spacing w:before="60" w:line="240" w:lineRule="exact"/>
        <w:contextualSpacing w:val="0"/>
        <w:jc w:val="both"/>
        <w:rPr>
          <w:lang w:val="sr-Cyrl-CS"/>
        </w:rPr>
      </w:pPr>
      <w:r>
        <w:rPr>
          <w:lang w:val="sr-Cyrl-CS"/>
        </w:rPr>
        <w:lastRenderedPageBreak/>
        <w:t>Утврђени предлог Извештаја о раду Коморе за 2016. годину доставити Скупштини Коморе на усвајање.</w:t>
      </w:r>
    </w:p>
    <w:p w:rsidR="00452B11" w:rsidRDefault="00452B11" w:rsidP="00452B11">
      <w:pPr>
        <w:pStyle w:val="ListParagraph"/>
        <w:numPr>
          <w:ilvl w:val="0"/>
          <w:numId w:val="3"/>
        </w:numPr>
        <w:spacing w:before="60" w:line="240" w:lineRule="exact"/>
        <w:contextualSpacing w:val="0"/>
        <w:jc w:val="both"/>
        <w:rPr>
          <w:lang w:val="sr-Cyrl-CS"/>
        </w:rPr>
      </w:pPr>
      <w:r>
        <w:rPr>
          <w:lang w:val="sr-Cyrl-CS"/>
        </w:rPr>
        <w:t xml:space="preserve">Утврђени предлог Извештаја о раду Коморе за 2016. годину прилаже се уз ову одлуку и чини њен саставни део. </w:t>
      </w:r>
    </w:p>
    <w:p w:rsidR="00452B11" w:rsidRDefault="00452B11" w:rsidP="00452B11">
      <w:pPr>
        <w:pStyle w:val="ListParagraph"/>
        <w:spacing w:before="60" w:line="240" w:lineRule="exact"/>
        <w:ind w:left="1080"/>
        <w:contextualSpacing w:val="0"/>
        <w:jc w:val="both"/>
        <w:rPr>
          <w:lang w:val="sr-Cyrl-CS"/>
        </w:rPr>
      </w:pPr>
    </w:p>
    <w:p w:rsidR="00452B11" w:rsidRDefault="00452B11" w:rsidP="00452B11">
      <w:pPr>
        <w:spacing w:before="60" w:line="240" w:lineRule="exact"/>
        <w:jc w:val="both"/>
        <w:rPr>
          <w:lang w:val="sr-Cyrl-CS"/>
        </w:rPr>
      </w:pPr>
    </w:p>
    <w:p w:rsidR="00452B11" w:rsidRDefault="00452B11" w:rsidP="00452B11">
      <w:pPr>
        <w:spacing w:before="60" w:line="240" w:lineRule="exact"/>
        <w:ind w:firstLine="720"/>
        <w:jc w:val="both"/>
        <w:rPr>
          <w:b/>
          <w:lang w:val="sr-Cyrl-CS"/>
        </w:rPr>
      </w:pPr>
      <w:r>
        <w:rPr>
          <w:b/>
          <w:lang w:val="sr-Cyrl-CS"/>
        </w:rPr>
        <w:t>ТАЧКА 3.</w:t>
      </w:r>
    </w:p>
    <w:p w:rsidR="00452B11" w:rsidRDefault="00452B11" w:rsidP="00452B11">
      <w:pPr>
        <w:spacing w:before="60" w:line="240" w:lineRule="exact"/>
        <w:ind w:firstLine="720"/>
        <w:jc w:val="both"/>
        <w:rPr>
          <w:b/>
          <w:lang w:val="sr-Cyrl-CS"/>
        </w:rPr>
      </w:pPr>
    </w:p>
    <w:p w:rsidR="00452B11" w:rsidRDefault="00452B11" w:rsidP="00452B11">
      <w:pPr>
        <w:spacing w:before="60" w:line="240" w:lineRule="exact"/>
        <w:ind w:firstLine="720"/>
        <w:jc w:val="both"/>
        <w:rPr>
          <w:lang w:val="sr-Cyrl-CS"/>
        </w:rPr>
      </w:pPr>
      <w:r>
        <w:rPr>
          <w:lang w:val="sr-Cyrl-CS"/>
        </w:rPr>
        <w:t xml:space="preserve">У излагању о овој тачки дневног реда, Срђан Срданов нагласио је да бројке из Извештаја о финансијском пословању Коморе за 2016. годину говоре више од речи. Ипак, сматрао је потребним да укаже на неколико чињеница. Здравствене установе у државној својини су у стању изразитих финансијских тешкоћа и претеће неликвидности, а више од 20 установа је у блокади. Овакво стање неминовно се одразило и на пословање Коморе здравствених установа Србије. Као непрофитна организација, Комора се готово искључиво финансира од чланског доприноса својих чланица. Управо у том сегменту прихода Коморе, у 2016. години забележен је значајан пад, од близу три милиона динара. У знатно мањем обиму, на пад прихода Коморе у 2016. години, утицали су и непланирани трошкови које је Комора имала у протеклој години, а који су образложени у напоменама уз Извештај о финансијском пословању. В.д. секретара Коморе поменуо је само највећи трошак – код услуга одржавања, који се односи на одвајање струје од „Дунав групе“ и прикључење на „Палату Јадран“. Утврђени вишак расхода над приходима у 2016. години у износу од 2.974.000,13 динара биће покривен из нераспоређене добити Коморе, остварене претходних година. </w:t>
      </w:r>
    </w:p>
    <w:p w:rsidR="00452B11" w:rsidRDefault="00452B11" w:rsidP="00452B11">
      <w:pPr>
        <w:spacing w:before="60" w:line="240" w:lineRule="exact"/>
        <w:ind w:firstLine="720"/>
        <w:jc w:val="both"/>
        <w:rPr>
          <w:lang w:val="sr-Cyrl-CS"/>
        </w:rPr>
      </w:pPr>
      <w:r>
        <w:rPr>
          <w:lang w:val="sr-Cyrl-CS"/>
        </w:rPr>
        <w:t>Проф. Константинидис закључио је да се успева да се година финансијски изведе до краја на рачун ранијих прихода и захвалио се установама које редовно плаћају члански допринос.</w:t>
      </w:r>
    </w:p>
    <w:p w:rsidR="00452B11" w:rsidRDefault="00452B11" w:rsidP="00452B11">
      <w:pPr>
        <w:spacing w:before="60" w:line="240" w:lineRule="exact"/>
        <w:ind w:firstLine="720"/>
        <w:jc w:val="both"/>
        <w:rPr>
          <w:lang w:val="sr-Cyrl-CS"/>
        </w:rPr>
      </w:pPr>
      <w:r>
        <w:rPr>
          <w:lang w:val="sr-Cyrl-CS"/>
        </w:rPr>
        <w:t>Управни одбор затим је једногласно донео</w:t>
      </w:r>
    </w:p>
    <w:p w:rsidR="00452B11" w:rsidRDefault="00452B11" w:rsidP="00452B11">
      <w:pPr>
        <w:spacing w:before="60" w:line="240" w:lineRule="exact"/>
        <w:ind w:firstLine="720"/>
        <w:jc w:val="both"/>
        <w:rPr>
          <w:lang w:val="sr-Cyrl-CS"/>
        </w:rPr>
      </w:pPr>
    </w:p>
    <w:p w:rsidR="00452B11" w:rsidRPr="00940EA0" w:rsidRDefault="00452B11" w:rsidP="00452B11">
      <w:pPr>
        <w:spacing w:before="60" w:line="240" w:lineRule="exact"/>
        <w:jc w:val="center"/>
        <w:rPr>
          <w:b/>
          <w:bCs/>
          <w:lang w:val="sr-Cyrl-CS"/>
        </w:rPr>
      </w:pPr>
      <w:r w:rsidRPr="00940EA0">
        <w:rPr>
          <w:b/>
          <w:bCs/>
          <w:lang w:val="sr-Cyrl-CS"/>
        </w:rPr>
        <w:t>ОДЛУКУ</w:t>
      </w:r>
    </w:p>
    <w:p w:rsidR="00452B11" w:rsidRDefault="00452B11" w:rsidP="00452B11">
      <w:pPr>
        <w:spacing w:before="60" w:line="240" w:lineRule="exact"/>
        <w:jc w:val="both"/>
        <w:rPr>
          <w:lang w:val="sr-Cyrl-CS"/>
        </w:rPr>
      </w:pPr>
    </w:p>
    <w:p w:rsidR="00452B11" w:rsidRPr="0039326C" w:rsidRDefault="00452B11" w:rsidP="00452B11">
      <w:pPr>
        <w:pStyle w:val="ListParagraph"/>
        <w:numPr>
          <w:ilvl w:val="0"/>
          <w:numId w:val="4"/>
        </w:numPr>
        <w:spacing w:before="60" w:line="240" w:lineRule="exact"/>
        <w:contextualSpacing w:val="0"/>
        <w:jc w:val="both"/>
        <w:rPr>
          <w:lang w:val="sr-Cyrl-CS"/>
        </w:rPr>
      </w:pPr>
      <w:r>
        <w:rPr>
          <w:lang w:val="sr-Cyrl-CS"/>
        </w:rPr>
        <w:t xml:space="preserve">Утврђује се предлог Извештаја о финансијском пословању Коморе здравствених установа Србије </w:t>
      </w:r>
      <w:r w:rsidRPr="009E2DD5">
        <w:rPr>
          <w:lang w:val="sr-Cyrl-CS"/>
        </w:rPr>
        <w:t>за 201</w:t>
      </w:r>
      <w:r>
        <w:t>6</w:t>
      </w:r>
      <w:r w:rsidRPr="009E2DD5">
        <w:rPr>
          <w:lang w:val="sr-Cyrl-CS"/>
        </w:rPr>
        <w:t>.</w:t>
      </w:r>
      <w:r>
        <w:rPr>
          <w:lang w:val="sr-Cyrl-CS"/>
        </w:rPr>
        <w:t xml:space="preserve"> годину</w:t>
      </w:r>
      <w:r>
        <w:t>:</w:t>
      </w:r>
    </w:p>
    <w:p w:rsidR="00452B11" w:rsidRPr="002D1B41" w:rsidRDefault="00452B11" w:rsidP="00452B11">
      <w:pPr>
        <w:pStyle w:val="ListParagraph"/>
        <w:spacing w:before="60" w:line="240" w:lineRule="exact"/>
        <w:ind w:left="1080"/>
        <w:rPr>
          <w:lang w:val="sr-Cyrl-CS"/>
        </w:rPr>
      </w:pPr>
    </w:p>
    <w:p w:rsidR="00452B11" w:rsidRPr="0039326C" w:rsidRDefault="00452B11" w:rsidP="00452B11">
      <w:pPr>
        <w:pStyle w:val="ListParagraph"/>
        <w:spacing w:before="60" w:line="240" w:lineRule="exact"/>
        <w:ind w:left="6840" w:firstLine="360"/>
        <w:rPr>
          <w:sz w:val="20"/>
          <w:szCs w:val="20"/>
        </w:rPr>
      </w:pPr>
      <w:r w:rsidRPr="0039326C">
        <w:rPr>
          <w:sz w:val="20"/>
          <w:szCs w:val="20"/>
        </w:rPr>
        <w:t>-износи у динарима-</w:t>
      </w:r>
    </w:p>
    <w:tbl>
      <w:tblPr>
        <w:tblW w:w="9015" w:type="dxa"/>
        <w:tblInd w:w="359" w:type="dxa"/>
        <w:tblLook w:val="04A0"/>
      </w:tblPr>
      <w:tblGrid>
        <w:gridCol w:w="540"/>
        <w:gridCol w:w="6315"/>
        <w:gridCol w:w="2160"/>
      </w:tblGrid>
      <w:tr w:rsidR="00452B11" w:rsidRPr="0039326C" w:rsidTr="006723BA">
        <w:trPr>
          <w:trHeight w:val="540"/>
        </w:trPr>
        <w:tc>
          <w:tcPr>
            <w:tcW w:w="540" w:type="dxa"/>
            <w:tcBorders>
              <w:top w:val="single" w:sz="8" w:space="0" w:color="000000"/>
              <w:left w:val="single" w:sz="8" w:space="0" w:color="000000"/>
              <w:bottom w:val="single" w:sz="8" w:space="0" w:color="000000"/>
              <w:right w:val="single" w:sz="8" w:space="0" w:color="000000"/>
            </w:tcBorders>
            <w:shd w:val="clear" w:color="000000" w:fill="C0C0C0"/>
            <w:noWrap/>
            <w:vAlign w:val="bottom"/>
            <w:hideMark/>
          </w:tcPr>
          <w:p w:rsidR="00452B11" w:rsidRPr="0039326C" w:rsidRDefault="00452B11" w:rsidP="006723BA">
            <w:pPr>
              <w:jc w:val="center"/>
              <w:rPr>
                <w:b/>
                <w:bCs/>
                <w:color w:val="000000"/>
                <w:sz w:val="20"/>
                <w:szCs w:val="20"/>
                <w:lang w:val="en-US"/>
              </w:rPr>
            </w:pPr>
            <w:r w:rsidRPr="0039326C">
              <w:rPr>
                <w:b/>
                <w:bCs/>
                <w:color w:val="000000"/>
                <w:sz w:val="20"/>
                <w:szCs w:val="20"/>
                <w:lang w:val="en-US"/>
              </w:rPr>
              <w:t>Р. бр.</w:t>
            </w:r>
          </w:p>
        </w:tc>
        <w:tc>
          <w:tcPr>
            <w:tcW w:w="6315" w:type="dxa"/>
            <w:tcBorders>
              <w:top w:val="single" w:sz="8" w:space="0" w:color="000000"/>
              <w:left w:val="nil"/>
              <w:bottom w:val="single" w:sz="8" w:space="0" w:color="000000"/>
              <w:right w:val="single" w:sz="8" w:space="0" w:color="000000"/>
            </w:tcBorders>
            <w:shd w:val="clear" w:color="000000" w:fill="C0C0C0"/>
            <w:noWrap/>
            <w:vAlign w:val="bottom"/>
            <w:hideMark/>
          </w:tcPr>
          <w:p w:rsidR="00452B11" w:rsidRPr="0039326C" w:rsidRDefault="00452B11" w:rsidP="006723BA">
            <w:pPr>
              <w:jc w:val="center"/>
              <w:rPr>
                <w:b/>
                <w:bCs/>
                <w:color w:val="000000"/>
                <w:sz w:val="20"/>
                <w:szCs w:val="20"/>
                <w:lang w:val="en-US"/>
              </w:rPr>
            </w:pPr>
            <w:r w:rsidRPr="0039326C">
              <w:rPr>
                <w:b/>
                <w:bCs/>
                <w:color w:val="000000"/>
                <w:sz w:val="20"/>
                <w:szCs w:val="20"/>
                <w:lang w:val="en-US"/>
              </w:rPr>
              <w:t>Врста прихода и расхода</w:t>
            </w:r>
          </w:p>
        </w:tc>
        <w:tc>
          <w:tcPr>
            <w:tcW w:w="2160" w:type="dxa"/>
            <w:tcBorders>
              <w:top w:val="single" w:sz="8" w:space="0" w:color="000000"/>
              <w:left w:val="nil"/>
              <w:bottom w:val="single" w:sz="8" w:space="0" w:color="auto"/>
              <w:right w:val="single" w:sz="8" w:space="0" w:color="000000"/>
            </w:tcBorders>
            <w:shd w:val="clear" w:color="000000" w:fill="C0C0C0"/>
            <w:vAlign w:val="bottom"/>
            <w:hideMark/>
          </w:tcPr>
          <w:p w:rsidR="00452B11" w:rsidRPr="0039326C" w:rsidRDefault="00452B11" w:rsidP="006723BA">
            <w:pPr>
              <w:jc w:val="center"/>
              <w:rPr>
                <w:b/>
                <w:bCs/>
                <w:color w:val="000000"/>
                <w:sz w:val="20"/>
                <w:szCs w:val="20"/>
                <w:lang w:val="en-US"/>
              </w:rPr>
            </w:pPr>
            <w:r w:rsidRPr="0039326C">
              <w:rPr>
                <w:b/>
                <w:bCs/>
                <w:color w:val="000000"/>
                <w:sz w:val="20"/>
                <w:szCs w:val="20"/>
                <w:lang w:val="en-US"/>
              </w:rPr>
              <w:t>Извршење 2016.г.</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 </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b/>
                <w:bCs/>
                <w:color w:val="000000"/>
                <w:sz w:val="20"/>
                <w:szCs w:val="20"/>
                <w:lang w:val="en-US"/>
              </w:rPr>
            </w:pPr>
            <w:r w:rsidRPr="0039326C">
              <w:rPr>
                <w:b/>
                <w:bCs/>
                <w:color w:val="000000"/>
                <w:sz w:val="20"/>
                <w:szCs w:val="20"/>
                <w:lang w:val="en-US"/>
              </w:rPr>
              <w:t>ПРИХОДИ</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 </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1</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Приходи од чланарина</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32,074,257.38</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2</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Приходи од камата</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326,627.16</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3</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Остали приходи- курсне разлике</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8,846.91</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4</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Приходи од вршења услуга</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122,888.34</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rPr>
                <w:rFonts w:ascii="Calibri" w:hAnsi="Calibri"/>
                <w:color w:val="000000"/>
                <w:lang w:val="en-US"/>
              </w:rPr>
            </w:pPr>
            <w:r w:rsidRPr="0039326C">
              <w:rPr>
                <w:rFonts w:ascii="Calibri" w:hAnsi="Calibri"/>
                <w:color w:val="000000"/>
                <w:sz w:val="22"/>
                <w:szCs w:val="22"/>
                <w:lang w:val="en-US"/>
              </w:rPr>
              <w:t> </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rFonts w:ascii="Calibri" w:hAnsi="Calibri"/>
                <w:color w:val="000000"/>
                <w:lang w:val="en-US"/>
              </w:rPr>
            </w:pPr>
            <w:r w:rsidRPr="0039326C">
              <w:rPr>
                <w:rFonts w:ascii="Calibri" w:hAnsi="Calibri"/>
                <w:color w:val="000000"/>
                <w:sz w:val="22"/>
                <w:szCs w:val="22"/>
                <w:lang w:val="en-US"/>
              </w:rPr>
              <w:t> </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rPr>
                <w:rFonts w:ascii="Calibri" w:hAnsi="Calibri"/>
                <w:color w:val="000000"/>
                <w:lang w:val="en-US"/>
              </w:rPr>
            </w:pPr>
            <w:r w:rsidRPr="0039326C">
              <w:rPr>
                <w:rFonts w:ascii="Calibri" w:hAnsi="Calibri"/>
                <w:color w:val="000000"/>
                <w:sz w:val="22"/>
                <w:szCs w:val="22"/>
                <w:lang w:val="en-US"/>
              </w:rPr>
              <w:t> </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000000" w:fill="C0C0C0"/>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 </w:t>
            </w:r>
          </w:p>
        </w:tc>
        <w:tc>
          <w:tcPr>
            <w:tcW w:w="6315" w:type="dxa"/>
            <w:tcBorders>
              <w:top w:val="nil"/>
              <w:left w:val="nil"/>
              <w:bottom w:val="single" w:sz="8" w:space="0" w:color="000000"/>
              <w:right w:val="single" w:sz="8" w:space="0" w:color="auto"/>
            </w:tcBorders>
            <w:shd w:val="clear" w:color="000000" w:fill="C0C0C0"/>
            <w:noWrap/>
            <w:vAlign w:val="bottom"/>
            <w:hideMark/>
          </w:tcPr>
          <w:p w:rsidR="00452B11" w:rsidRPr="0039326C" w:rsidRDefault="00452B11" w:rsidP="006723BA">
            <w:pPr>
              <w:jc w:val="right"/>
              <w:rPr>
                <w:b/>
                <w:bCs/>
                <w:color w:val="000000"/>
                <w:sz w:val="20"/>
                <w:szCs w:val="20"/>
                <w:lang w:val="en-US"/>
              </w:rPr>
            </w:pPr>
            <w:r w:rsidRPr="0039326C">
              <w:rPr>
                <w:b/>
                <w:bCs/>
                <w:color w:val="000000"/>
                <w:sz w:val="20"/>
                <w:szCs w:val="20"/>
                <w:lang w:val="en-US"/>
              </w:rPr>
              <w:t>Укупни приходи</w:t>
            </w:r>
          </w:p>
        </w:tc>
        <w:tc>
          <w:tcPr>
            <w:tcW w:w="2160" w:type="dxa"/>
            <w:tcBorders>
              <w:top w:val="nil"/>
              <w:left w:val="nil"/>
              <w:bottom w:val="single" w:sz="8" w:space="0" w:color="auto"/>
              <w:right w:val="single" w:sz="8" w:space="0" w:color="auto"/>
            </w:tcBorders>
            <w:shd w:val="clear" w:color="000000" w:fill="C0C0C0"/>
            <w:noWrap/>
            <w:vAlign w:val="bottom"/>
            <w:hideMark/>
          </w:tcPr>
          <w:p w:rsidR="00452B11" w:rsidRPr="0039326C" w:rsidRDefault="00452B11" w:rsidP="006723BA">
            <w:pPr>
              <w:jc w:val="right"/>
              <w:rPr>
                <w:b/>
                <w:bCs/>
                <w:color w:val="000000"/>
                <w:sz w:val="20"/>
                <w:szCs w:val="20"/>
                <w:lang w:val="en-US"/>
              </w:rPr>
            </w:pPr>
            <w:r w:rsidRPr="0039326C">
              <w:rPr>
                <w:b/>
                <w:bCs/>
                <w:color w:val="000000"/>
                <w:sz w:val="20"/>
                <w:szCs w:val="20"/>
                <w:lang w:val="en-US"/>
              </w:rPr>
              <w:t>32,532,619.79</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 </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b/>
                <w:bCs/>
                <w:color w:val="000000"/>
                <w:sz w:val="20"/>
                <w:szCs w:val="20"/>
                <w:lang w:val="en-US"/>
              </w:rPr>
            </w:pPr>
            <w:r w:rsidRPr="0039326C">
              <w:rPr>
                <w:b/>
                <w:bCs/>
                <w:color w:val="000000"/>
                <w:sz w:val="20"/>
                <w:szCs w:val="20"/>
                <w:lang w:val="en-US"/>
              </w:rPr>
              <w:t>РАСХОДИ</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 </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1</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Трошкови материјала</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90,141.23</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2</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Трошкови горива и енергије</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1,293,783.94</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rPr>
                <w:rFonts w:ascii="Calibri" w:hAnsi="Calibri"/>
                <w:color w:val="000000"/>
                <w:lang w:val="en-US"/>
              </w:rPr>
            </w:pPr>
            <w:r w:rsidRPr="0039326C">
              <w:rPr>
                <w:rFonts w:ascii="Calibri" w:hAnsi="Calibri"/>
                <w:color w:val="000000"/>
                <w:sz w:val="22"/>
                <w:szCs w:val="22"/>
                <w:lang w:val="en-US"/>
              </w:rPr>
              <w:lastRenderedPageBreak/>
              <w:t> </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Трошкови једнократног отписа алата и инветара</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25,440.00</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3</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Бруто зараде</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19,629,155.55</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4</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Доприноси на терет послодавца</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3,523,218.81</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6</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Накнаде по ауторским уговорима</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693,306.04</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7</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Трошкови накнаде председнику Управног одбора</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665231.04</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7а</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Трошкови накнаде заменику председника Управног одбора</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399,138.60</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8а</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Накнаде трошкова запослених – превоз</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473,255.52</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8б</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Накнаде трошкова запослених – службени пут</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335,351.68</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8ц</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Давања деци запослених – Нова Година</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45,830.00</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8д</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Накнада трошкова другим физичким лицима</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210,293.13</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8е</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Отпремнине и јубиларне награде</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769,210.08</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10</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Трошкови транспортних услуга и ПТТ</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338,457.44</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11</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Трошкови услуга одржавања</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829,836.84</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rPr>
                <w:rFonts w:ascii="Calibri" w:hAnsi="Calibri"/>
                <w:color w:val="000000"/>
                <w:lang w:val="en-US"/>
              </w:rPr>
            </w:pPr>
            <w:r w:rsidRPr="0039326C">
              <w:rPr>
                <w:rFonts w:ascii="Calibri" w:hAnsi="Calibri"/>
                <w:color w:val="000000"/>
                <w:sz w:val="22"/>
                <w:szCs w:val="22"/>
                <w:lang w:val="en-US"/>
              </w:rPr>
              <w:t> </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Трошкови закупнина</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0</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12</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Трошкови оглашавање, рекламе и пропаганде</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66,364.00</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13</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Трошкови производних услуга</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703,660.86</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14</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Трошкови амортизације</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2,684,659.42</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15</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Трошкови непроизводних услуга</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729,818.40</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16</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Трошкови репрезентације</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403,750.36</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17</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Трошкови осигурања имовине</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151,073.94</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18</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Трошкови платног промета</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85,693.80</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19</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Трошкови чланарина</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308,082.50</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19</w:t>
            </w:r>
          </w:p>
        </w:tc>
        <w:tc>
          <w:tcPr>
            <w:tcW w:w="6315" w:type="dxa"/>
            <w:tcBorders>
              <w:top w:val="nil"/>
              <w:left w:val="nil"/>
              <w:bottom w:val="single" w:sz="8" w:space="0" w:color="000000"/>
              <w:right w:val="single" w:sz="8" w:space="0" w:color="auto"/>
            </w:tcBorders>
            <w:shd w:val="clear" w:color="000000" w:fill="FFFFFF"/>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Накнада за грађевинско земљиште и порези који терете трошкове</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670,831.60</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20</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Остали нематеријални трошкови/адм.таксе и стручна литература</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376,067.83</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21</w:t>
            </w:r>
          </w:p>
        </w:tc>
        <w:tc>
          <w:tcPr>
            <w:tcW w:w="6315" w:type="dxa"/>
            <w:tcBorders>
              <w:top w:val="nil"/>
              <w:left w:val="nil"/>
              <w:bottom w:val="single" w:sz="8" w:space="0" w:color="000000"/>
              <w:right w:val="single" w:sz="8" w:space="0" w:color="auto"/>
            </w:tcBorders>
            <w:shd w:val="clear" w:color="auto" w:fill="auto"/>
            <w:noWrap/>
            <w:vAlign w:val="bottom"/>
            <w:hideMark/>
          </w:tcPr>
          <w:p w:rsidR="00452B11" w:rsidRPr="0039326C" w:rsidRDefault="00452B11" w:rsidP="006723BA">
            <w:pPr>
              <w:rPr>
                <w:color w:val="000000"/>
                <w:sz w:val="20"/>
                <w:szCs w:val="20"/>
                <w:lang w:val="en-US"/>
              </w:rPr>
            </w:pPr>
            <w:r w:rsidRPr="0039326C">
              <w:rPr>
                <w:color w:val="000000"/>
                <w:sz w:val="20"/>
                <w:szCs w:val="20"/>
                <w:lang w:val="en-US"/>
              </w:rPr>
              <w:t>Остали трошкови</w:t>
            </w:r>
          </w:p>
        </w:tc>
        <w:tc>
          <w:tcPr>
            <w:tcW w:w="2160" w:type="dxa"/>
            <w:tcBorders>
              <w:top w:val="nil"/>
              <w:left w:val="nil"/>
              <w:bottom w:val="single" w:sz="8" w:space="0" w:color="auto"/>
              <w:right w:val="single" w:sz="8" w:space="0" w:color="auto"/>
            </w:tcBorders>
            <w:shd w:val="clear" w:color="auto" w:fill="auto"/>
            <w:noWrap/>
            <w:vAlign w:val="bottom"/>
            <w:hideMark/>
          </w:tcPr>
          <w:p w:rsidR="00452B11" w:rsidRPr="0039326C" w:rsidRDefault="00452B11" w:rsidP="006723BA">
            <w:pPr>
              <w:jc w:val="right"/>
              <w:rPr>
                <w:color w:val="000000"/>
                <w:sz w:val="20"/>
                <w:szCs w:val="20"/>
                <w:lang w:val="en-US"/>
              </w:rPr>
            </w:pPr>
            <w:r w:rsidRPr="0039326C">
              <w:rPr>
                <w:color w:val="000000"/>
                <w:sz w:val="20"/>
                <w:szCs w:val="20"/>
                <w:lang w:val="en-US"/>
              </w:rPr>
              <w:t>4,967.31</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000000" w:fill="C0C0C0"/>
            <w:noWrap/>
            <w:vAlign w:val="bottom"/>
            <w:hideMark/>
          </w:tcPr>
          <w:p w:rsidR="00452B11" w:rsidRPr="0039326C" w:rsidRDefault="00452B11" w:rsidP="006723BA">
            <w:pPr>
              <w:jc w:val="center"/>
              <w:rPr>
                <w:color w:val="000000"/>
                <w:sz w:val="20"/>
                <w:szCs w:val="20"/>
                <w:lang w:val="en-US"/>
              </w:rPr>
            </w:pPr>
            <w:r w:rsidRPr="0039326C">
              <w:rPr>
                <w:color w:val="000000"/>
                <w:sz w:val="20"/>
                <w:szCs w:val="20"/>
                <w:lang w:val="en-US"/>
              </w:rPr>
              <w:t> </w:t>
            </w:r>
          </w:p>
        </w:tc>
        <w:tc>
          <w:tcPr>
            <w:tcW w:w="6315" w:type="dxa"/>
            <w:tcBorders>
              <w:top w:val="nil"/>
              <w:left w:val="nil"/>
              <w:bottom w:val="single" w:sz="8" w:space="0" w:color="000000"/>
              <w:right w:val="single" w:sz="8" w:space="0" w:color="auto"/>
            </w:tcBorders>
            <w:shd w:val="clear" w:color="000000" w:fill="C0C0C0"/>
            <w:noWrap/>
            <w:vAlign w:val="bottom"/>
            <w:hideMark/>
          </w:tcPr>
          <w:p w:rsidR="00452B11" w:rsidRPr="0039326C" w:rsidRDefault="00452B11" w:rsidP="006723BA">
            <w:pPr>
              <w:jc w:val="right"/>
              <w:rPr>
                <w:b/>
                <w:bCs/>
                <w:color w:val="000000"/>
                <w:sz w:val="20"/>
                <w:szCs w:val="20"/>
                <w:lang w:val="en-US"/>
              </w:rPr>
            </w:pPr>
            <w:r w:rsidRPr="0039326C">
              <w:rPr>
                <w:b/>
                <w:bCs/>
                <w:color w:val="000000"/>
                <w:sz w:val="20"/>
                <w:szCs w:val="20"/>
                <w:lang w:val="en-US"/>
              </w:rPr>
              <w:t>Укупни расходи (од 1 до 20)</w:t>
            </w:r>
          </w:p>
        </w:tc>
        <w:tc>
          <w:tcPr>
            <w:tcW w:w="2160" w:type="dxa"/>
            <w:tcBorders>
              <w:top w:val="nil"/>
              <w:left w:val="nil"/>
              <w:bottom w:val="single" w:sz="8" w:space="0" w:color="auto"/>
              <w:right w:val="single" w:sz="8" w:space="0" w:color="auto"/>
            </w:tcBorders>
            <w:shd w:val="clear" w:color="000000" w:fill="C0C0C0"/>
            <w:noWrap/>
            <w:vAlign w:val="bottom"/>
            <w:hideMark/>
          </w:tcPr>
          <w:p w:rsidR="00452B11" w:rsidRPr="0039326C" w:rsidRDefault="00452B11" w:rsidP="006723BA">
            <w:pPr>
              <w:jc w:val="right"/>
              <w:rPr>
                <w:b/>
                <w:bCs/>
                <w:color w:val="000000"/>
                <w:sz w:val="20"/>
                <w:szCs w:val="20"/>
                <w:lang w:val="en-US"/>
              </w:rPr>
            </w:pPr>
            <w:r w:rsidRPr="0039326C">
              <w:rPr>
                <w:b/>
                <w:bCs/>
                <w:color w:val="000000"/>
                <w:sz w:val="20"/>
                <w:szCs w:val="20"/>
                <w:lang w:val="en-US"/>
              </w:rPr>
              <w:t>35,506,619.92</w:t>
            </w:r>
          </w:p>
        </w:tc>
      </w:tr>
      <w:tr w:rsidR="00452B11" w:rsidRPr="0039326C" w:rsidTr="006723BA">
        <w:trPr>
          <w:trHeight w:val="315"/>
        </w:trPr>
        <w:tc>
          <w:tcPr>
            <w:tcW w:w="540" w:type="dxa"/>
            <w:tcBorders>
              <w:top w:val="nil"/>
              <w:left w:val="single" w:sz="8" w:space="0" w:color="000000"/>
              <w:bottom w:val="single" w:sz="8" w:space="0" w:color="000000"/>
              <w:right w:val="single" w:sz="8" w:space="0" w:color="000000"/>
            </w:tcBorders>
            <w:shd w:val="clear" w:color="000000" w:fill="C0C0C0"/>
            <w:noWrap/>
            <w:vAlign w:val="bottom"/>
            <w:hideMark/>
          </w:tcPr>
          <w:p w:rsidR="00452B11" w:rsidRPr="0039326C" w:rsidRDefault="00452B11" w:rsidP="006723BA">
            <w:pPr>
              <w:jc w:val="center"/>
              <w:rPr>
                <w:b/>
                <w:bCs/>
                <w:color w:val="000000"/>
                <w:sz w:val="20"/>
                <w:szCs w:val="20"/>
                <w:lang w:val="en-US"/>
              </w:rPr>
            </w:pPr>
            <w:r w:rsidRPr="0039326C">
              <w:rPr>
                <w:b/>
                <w:bCs/>
                <w:color w:val="000000"/>
                <w:sz w:val="20"/>
                <w:szCs w:val="20"/>
                <w:lang w:val="en-US"/>
              </w:rPr>
              <w:t> </w:t>
            </w:r>
          </w:p>
        </w:tc>
        <w:tc>
          <w:tcPr>
            <w:tcW w:w="6315" w:type="dxa"/>
            <w:tcBorders>
              <w:top w:val="nil"/>
              <w:left w:val="nil"/>
              <w:bottom w:val="single" w:sz="8" w:space="0" w:color="000000"/>
              <w:right w:val="single" w:sz="8" w:space="0" w:color="auto"/>
            </w:tcBorders>
            <w:shd w:val="clear" w:color="000000" w:fill="C0C0C0"/>
            <w:noWrap/>
            <w:vAlign w:val="bottom"/>
            <w:hideMark/>
          </w:tcPr>
          <w:p w:rsidR="00452B11" w:rsidRPr="0039326C" w:rsidRDefault="00452B11" w:rsidP="006723BA">
            <w:pPr>
              <w:rPr>
                <w:b/>
                <w:bCs/>
                <w:color w:val="000000"/>
                <w:sz w:val="20"/>
                <w:szCs w:val="20"/>
                <w:lang w:val="en-US"/>
              </w:rPr>
            </w:pPr>
            <w:r w:rsidRPr="0039326C">
              <w:rPr>
                <w:b/>
                <w:bCs/>
                <w:color w:val="000000"/>
                <w:sz w:val="20"/>
                <w:szCs w:val="20"/>
                <w:lang w:val="en-US"/>
              </w:rPr>
              <w:t>РАЗЛИКА ПРИХОДА И РАСХОДА</w:t>
            </w:r>
          </w:p>
        </w:tc>
        <w:tc>
          <w:tcPr>
            <w:tcW w:w="2160" w:type="dxa"/>
            <w:tcBorders>
              <w:top w:val="nil"/>
              <w:left w:val="nil"/>
              <w:bottom w:val="single" w:sz="8" w:space="0" w:color="auto"/>
              <w:right w:val="single" w:sz="8" w:space="0" w:color="auto"/>
            </w:tcBorders>
            <w:shd w:val="clear" w:color="000000" w:fill="C0C0C0"/>
            <w:noWrap/>
            <w:vAlign w:val="bottom"/>
            <w:hideMark/>
          </w:tcPr>
          <w:p w:rsidR="00452B11" w:rsidRPr="0039326C" w:rsidRDefault="00452B11" w:rsidP="006723BA">
            <w:pPr>
              <w:jc w:val="right"/>
              <w:rPr>
                <w:b/>
                <w:bCs/>
                <w:color w:val="000000"/>
                <w:sz w:val="20"/>
                <w:szCs w:val="20"/>
                <w:lang w:val="en-US"/>
              </w:rPr>
            </w:pPr>
            <w:r w:rsidRPr="0039326C">
              <w:rPr>
                <w:b/>
                <w:bCs/>
                <w:color w:val="000000"/>
                <w:sz w:val="20"/>
                <w:szCs w:val="20"/>
                <w:lang w:val="en-US"/>
              </w:rPr>
              <w:t>-2,974,000.13</w:t>
            </w:r>
          </w:p>
        </w:tc>
      </w:tr>
    </w:tbl>
    <w:p w:rsidR="00452B11" w:rsidRPr="00EB4CD2" w:rsidRDefault="00452B11" w:rsidP="00452B11">
      <w:pPr>
        <w:spacing w:before="60" w:line="240" w:lineRule="exact"/>
        <w:rPr>
          <w:lang w:val="sr-Cyrl-CS"/>
        </w:rPr>
      </w:pPr>
    </w:p>
    <w:p w:rsidR="00452B11" w:rsidRDefault="00452B11" w:rsidP="00452B11">
      <w:pPr>
        <w:pStyle w:val="ListParagraph"/>
        <w:spacing w:before="60" w:line="240" w:lineRule="exact"/>
        <w:rPr>
          <w:lang w:val="sr-Cyrl-CS"/>
        </w:rPr>
      </w:pPr>
    </w:p>
    <w:p w:rsidR="00452B11" w:rsidRDefault="00452B11" w:rsidP="00452B11">
      <w:pPr>
        <w:pStyle w:val="ListParagraph"/>
        <w:numPr>
          <w:ilvl w:val="0"/>
          <w:numId w:val="4"/>
        </w:numPr>
        <w:spacing w:before="60" w:line="240" w:lineRule="exact"/>
        <w:contextualSpacing w:val="0"/>
        <w:jc w:val="both"/>
        <w:rPr>
          <w:lang w:val="sr-Cyrl-CS"/>
        </w:rPr>
      </w:pPr>
      <w:r>
        <w:rPr>
          <w:lang w:val="sr-Cyrl-CS"/>
        </w:rPr>
        <w:t xml:space="preserve">Утврђени предлог Извештаја о финансијском пословању Коморе за </w:t>
      </w:r>
      <w:r w:rsidRPr="009E2DD5">
        <w:rPr>
          <w:lang w:val="sr-Cyrl-CS"/>
        </w:rPr>
        <w:t>201</w:t>
      </w:r>
      <w:r>
        <w:t>6</w:t>
      </w:r>
      <w:r w:rsidRPr="009E2DD5">
        <w:rPr>
          <w:lang w:val="sr-Cyrl-CS"/>
        </w:rPr>
        <w:t>.</w:t>
      </w:r>
      <w:r>
        <w:rPr>
          <w:lang w:val="sr-Cyrl-CS"/>
        </w:rPr>
        <w:t xml:space="preserve"> годину доставити Скупштини Коморе на усвајање.</w:t>
      </w:r>
    </w:p>
    <w:p w:rsidR="00452B11" w:rsidRDefault="00452B11" w:rsidP="00452B11">
      <w:pPr>
        <w:spacing w:before="60" w:line="240" w:lineRule="exact"/>
        <w:jc w:val="both"/>
        <w:rPr>
          <w:lang w:val="sr-Cyrl-CS"/>
        </w:rPr>
      </w:pPr>
    </w:p>
    <w:p w:rsidR="00452B11" w:rsidRDefault="00452B11" w:rsidP="00452B11">
      <w:pPr>
        <w:spacing w:before="60" w:line="240" w:lineRule="exact"/>
        <w:ind w:firstLine="720"/>
        <w:jc w:val="both"/>
        <w:rPr>
          <w:b/>
          <w:lang w:val="sr-Cyrl-CS"/>
        </w:rPr>
      </w:pPr>
      <w:r w:rsidRPr="005B36E6">
        <w:rPr>
          <w:b/>
          <w:lang w:val="sr-Cyrl-CS"/>
        </w:rPr>
        <w:t>ТАЧКА 4.</w:t>
      </w:r>
    </w:p>
    <w:p w:rsidR="00452B11" w:rsidRDefault="00452B11" w:rsidP="00452B11">
      <w:pPr>
        <w:spacing w:before="60" w:line="240" w:lineRule="exact"/>
        <w:ind w:firstLine="720"/>
        <w:jc w:val="both"/>
        <w:rPr>
          <w:b/>
          <w:lang w:val="sr-Cyrl-CS"/>
        </w:rPr>
      </w:pPr>
    </w:p>
    <w:p w:rsidR="00452B11" w:rsidRDefault="00452B11" w:rsidP="00452B11">
      <w:pPr>
        <w:spacing w:before="60" w:line="240" w:lineRule="exact"/>
        <w:ind w:firstLine="720"/>
        <w:jc w:val="both"/>
        <w:rPr>
          <w:lang w:val="sr-Cyrl-CS"/>
        </w:rPr>
      </w:pPr>
      <w:r>
        <w:rPr>
          <w:lang w:val="sr-Cyrl-CS"/>
        </w:rPr>
        <w:t xml:space="preserve">Вршилац дужности секретара Коморе Срђан Срданов рекао је да су Планом рада Коморе за 2017. годину дефинисани најзначајнији задаци органа и радних тела Коморе, као и Стручне службе Коморе у овој години. Комора ће и у 2017. години Министарству здравља и Реоубличком фонду за здравствено осигурање указивати на најважније проблеме у пословању здравствених установа, предлажући адекватна решења. Планирано је и да примена нових Закона о здравственој заштити и Закона о здравственом осигурању, </w:t>
      </w:r>
      <w:r>
        <w:rPr>
          <w:lang w:val="sr-Cyrl-CS"/>
        </w:rPr>
        <w:lastRenderedPageBreak/>
        <w:t>уколико у овој години буду усвојени, што се очекује, буде једна од тема саветовања, односно радно-стручних састанака у организацији Коморе.</w:t>
      </w:r>
    </w:p>
    <w:p w:rsidR="00452B11" w:rsidRDefault="00452B11" w:rsidP="00452B11">
      <w:pPr>
        <w:spacing w:before="60" w:line="240" w:lineRule="exact"/>
        <w:ind w:firstLine="720"/>
        <w:jc w:val="both"/>
        <w:rPr>
          <w:lang w:val="sr-Cyrl-CS"/>
        </w:rPr>
      </w:pPr>
      <w:r>
        <w:rPr>
          <w:lang w:val="sr-Cyrl-CS"/>
        </w:rPr>
        <w:t xml:space="preserve">Комора ће и даље пратити и анализирати финансијско пословање здравствених установа и благовремено предочавати Министарству здравља и РФЗО проблеме здравствених установа у тој области. У оквиру међународне сарадње планиран је наставак и унапређење сарадње са Европским удружењем болница НОРЕ, чији је Комора члан. У 2017. години планирана су два саветовања без котизације, издавање 4 броја часописа „Здравствена заштита“ и 4 броја Билтена Коморе, који ће се електронским путем доставити здравственим установама. </w:t>
      </w:r>
    </w:p>
    <w:p w:rsidR="00452B11" w:rsidRDefault="00452B11" w:rsidP="00452B11">
      <w:pPr>
        <w:spacing w:before="60" w:line="240" w:lineRule="exact"/>
        <w:ind w:firstLine="720"/>
        <w:jc w:val="both"/>
        <w:rPr>
          <w:lang w:val="sr-Cyrl-CS"/>
        </w:rPr>
      </w:pPr>
      <w:r>
        <w:rPr>
          <w:lang w:val="sr-Cyrl-CS"/>
        </w:rPr>
        <w:t>Управни одбор је након тога једногласно донео</w:t>
      </w:r>
    </w:p>
    <w:p w:rsidR="00452B11" w:rsidRDefault="00452B11" w:rsidP="00452B11">
      <w:pPr>
        <w:spacing w:before="60" w:line="240" w:lineRule="exact"/>
        <w:ind w:firstLine="720"/>
        <w:jc w:val="both"/>
        <w:rPr>
          <w:lang w:val="sr-Cyrl-CS"/>
        </w:rPr>
      </w:pPr>
    </w:p>
    <w:p w:rsidR="00452B11" w:rsidRPr="00940EA0" w:rsidRDefault="00452B11" w:rsidP="00452B11">
      <w:pPr>
        <w:spacing w:before="60" w:line="240" w:lineRule="exact"/>
        <w:jc w:val="center"/>
        <w:rPr>
          <w:b/>
          <w:bCs/>
          <w:lang w:val="sr-Cyrl-CS"/>
        </w:rPr>
      </w:pPr>
      <w:r w:rsidRPr="00940EA0">
        <w:rPr>
          <w:b/>
          <w:bCs/>
          <w:lang w:val="sr-Cyrl-CS"/>
        </w:rPr>
        <w:t>ОДЛУКУ</w:t>
      </w:r>
    </w:p>
    <w:p w:rsidR="00452B11" w:rsidRDefault="00452B11" w:rsidP="00452B11">
      <w:pPr>
        <w:spacing w:before="60" w:line="240" w:lineRule="exact"/>
        <w:jc w:val="both"/>
        <w:rPr>
          <w:lang w:val="sr-Cyrl-CS"/>
        </w:rPr>
      </w:pPr>
    </w:p>
    <w:p w:rsidR="00452B11" w:rsidRDefault="00452B11" w:rsidP="00452B11">
      <w:pPr>
        <w:pStyle w:val="ListParagraph"/>
        <w:numPr>
          <w:ilvl w:val="0"/>
          <w:numId w:val="5"/>
        </w:numPr>
        <w:spacing w:before="60" w:line="240" w:lineRule="exact"/>
        <w:contextualSpacing w:val="0"/>
        <w:jc w:val="both"/>
        <w:rPr>
          <w:lang w:val="sr-Cyrl-CS"/>
        </w:rPr>
      </w:pPr>
      <w:r>
        <w:rPr>
          <w:lang w:val="sr-Cyrl-CS"/>
        </w:rPr>
        <w:t>Утврђује се предлог Плана рада Коморе здравствених установа Србије за 201</w:t>
      </w:r>
      <w:r>
        <w:t>7</w:t>
      </w:r>
      <w:r>
        <w:rPr>
          <w:lang w:val="sr-Cyrl-CS"/>
        </w:rPr>
        <w:t>. годину.</w:t>
      </w:r>
    </w:p>
    <w:p w:rsidR="00452B11" w:rsidRDefault="00452B11" w:rsidP="00452B11">
      <w:pPr>
        <w:pStyle w:val="ListParagraph"/>
        <w:numPr>
          <w:ilvl w:val="0"/>
          <w:numId w:val="5"/>
        </w:numPr>
        <w:spacing w:before="60" w:line="240" w:lineRule="exact"/>
        <w:contextualSpacing w:val="0"/>
        <w:jc w:val="both"/>
        <w:rPr>
          <w:lang w:val="sr-Cyrl-CS"/>
        </w:rPr>
      </w:pPr>
      <w:r>
        <w:rPr>
          <w:lang w:val="sr-Cyrl-CS"/>
        </w:rPr>
        <w:t>Утврђени предлог Плана рада Коморе за 201</w:t>
      </w:r>
      <w:r>
        <w:t>7</w:t>
      </w:r>
      <w:r>
        <w:rPr>
          <w:lang w:val="sr-Cyrl-CS"/>
        </w:rPr>
        <w:t>. годину доставити Скупштини Коморе на усвајање.</w:t>
      </w:r>
    </w:p>
    <w:p w:rsidR="00452B11" w:rsidRDefault="00452B11" w:rsidP="00452B11">
      <w:pPr>
        <w:pStyle w:val="ListParagraph"/>
        <w:numPr>
          <w:ilvl w:val="0"/>
          <w:numId w:val="5"/>
        </w:numPr>
        <w:spacing w:before="60" w:line="240" w:lineRule="exact"/>
        <w:contextualSpacing w:val="0"/>
        <w:jc w:val="both"/>
        <w:rPr>
          <w:lang w:val="sr-Cyrl-CS"/>
        </w:rPr>
      </w:pPr>
      <w:r>
        <w:rPr>
          <w:lang w:val="sr-Cyrl-CS"/>
        </w:rPr>
        <w:t>Утврђени предлог Плана  рада  Коморе за 201</w:t>
      </w:r>
      <w:r>
        <w:t>7</w:t>
      </w:r>
      <w:r>
        <w:rPr>
          <w:lang w:val="sr-Cyrl-CS"/>
        </w:rPr>
        <w:t>. годину прилаже се уз</w:t>
      </w:r>
      <w:r>
        <w:t xml:space="preserve"> ову</w:t>
      </w:r>
      <w:r>
        <w:rPr>
          <w:lang w:val="sr-Cyrl-CS"/>
        </w:rPr>
        <w:t xml:space="preserve"> одлуку  и чини њен саставни део. </w:t>
      </w:r>
    </w:p>
    <w:p w:rsidR="00452B11" w:rsidRDefault="00452B11" w:rsidP="00452B11">
      <w:pPr>
        <w:jc w:val="both"/>
        <w:rPr>
          <w:lang w:val="sr-Cyrl-CS"/>
        </w:rPr>
      </w:pPr>
    </w:p>
    <w:p w:rsidR="00452B11" w:rsidRDefault="00452B11" w:rsidP="00452B11">
      <w:pPr>
        <w:spacing w:before="60" w:line="240" w:lineRule="exact"/>
        <w:ind w:firstLine="720"/>
        <w:jc w:val="both"/>
        <w:rPr>
          <w:b/>
          <w:lang w:val="sr-Cyrl-CS"/>
        </w:rPr>
      </w:pPr>
      <w:r>
        <w:rPr>
          <w:b/>
          <w:lang w:val="sr-Cyrl-CS"/>
        </w:rPr>
        <w:t>ТАЧКА 5.</w:t>
      </w:r>
    </w:p>
    <w:p w:rsidR="00452B11" w:rsidRDefault="00452B11" w:rsidP="00452B11">
      <w:pPr>
        <w:spacing w:before="60" w:line="240" w:lineRule="exact"/>
        <w:ind w:firstLine="720"/>
        <w:jc w:val="both"/>
        <w:rPr>
          <w:b/>
          <w:lang w:val="sr-Cyrl-CS"/>
        </w:rPr>
      </w:pPr>
    </w:p>
    <w:p w:rsidR="00452B11" w:rsidRDefault="00452B11" w:rsidP="00452B11">
      <w:pPr>
        <w:spacing w:before="60" w:line="240" w:lineRule="exact"/>
        <w:ind w:firstLine="720"/>
        <w:jc w:val="both"/>
        <w:rPr>
          <w:lang w:val="sr-Cyrl-CS"/>
        </w:rPr>
      </w:pPr>
      <w:r>
        <w:rPr>
          <w:lang w:val="sr-Cyrl-CS"/>
        </w:rPr>
        <w:t xml:space="preserve">Што се тиче Финансијског плана Коморе за 2017. годину, Срђан Срданов рекао је да су, уз максимално могућу штедњу на свим позицијама, али не на рачун квалитета услуга, приходи од чланског доприноса планирани на нешто вишем нивоу од извршења у претходној години. Планира се и појачана активност на наплати чланског доприноса, што би, уз позитиван ефекат повећања плата у здравству, омогућило извршење Финансијског плана Коморе. </w:t>
      </w:r>
    </w:p>
    <w:p w:rsidR="00452B11" w:rsidRDefault="00452B11" w:rsidP="00452B11">
      <w:pPr>
        <w:spacing w:before="60" w:line="240" w:lineRule="exact"/>
        <w:ind w:firstLine="720"/>
        <w:jc w:val="both"/>
        <w:rPr>
          <w:lang w:val="sr-Cyrl-CS"/>
        </w:rPr>
      </w:pPr>
      <w:r>
        <w:rPr>
          <w:lang w:val="sr-Cyrl-CS"/>
        </w:rPr>
        <w:t xml:space="preserve">Председник Управног одбора рекао је да Финансијски план Коморе за 2017. годину садржи мање-више исте ставке, као претходних година. Покушаће се смањити неке трошкове, као нпр. чланарину НОРЕ-у, иако је на томе већ доста урађено. Проф. Константинидис говорио је и о запосленима у Стручној служби Коморе. Приметно је стално смањење броја извршилаца; тако и ове године троје њих одлази у пензију, а планира се пријем само двоје. Више од тога неће се моћи смањивати, да би Комора остала функционална. Међутим, није у питању само број запослених, већ и њихово прилагођавање захтевима времена, тако да би, поред броја запослених, вероватно требало размотрити и редефинисати неке од обавеза и врсту активности које Комора сада обавља. </w:t>
      </w:r>
    </w:p>
    <w:p w:rsidR="00452B11" w:rsidRDefault="00452B11" w:rsidP="00452B11">
      <w:pPr>
        <w:spacing w:before="60" w:line="240" w:lineRule="exact"/>
        <w:ind w:firstLine="720"/>
        <w:jc w:val="both"/>
        <w:rPr>
          <w:lang w:val="sr-Cyrl-CS"/>
        </w:rPr>
      </w:pPr>
      <w:r>
        <w:rPr>
          <w:lang w:val="sr-Cyrl-CS"/>
        </w:rPr>
        <w:t>Затим су чланови Управног одбора једногласно донели</w:t>
      </w:r>
    </w:p>
    <w:p w:rsidR="00452B11" w:rsidRDefault="00452B11" w:rsidP="00452B11">
      <w:pPr>
        <w:spacing w:before="60" w:line="240" w:lineRule="exact"/>
        <w:jc w:val="both"/>
        <w:rPr>
          <w:lang w:val="sr-Cyrl-CS"/>
        </w:rPr>
      </w:pPr>
    </w:p>
    <w:p w:rsidR="00452B11" w:rsidRPr="00940EA0" w:rsidRDefault="00452B11" w:rsidP="00452B11">
      <w:pPr>
        <w:spacing w:before="60" w:line="240" w:lineRule="exact"/>
        <w:jc w:val="center"/>
        <w:rPr>
          <w:b/>
          <w:bCs/>
          <w:lang w:val="sr-Cyrl-CS"/>
        </w:rPr>
      </w:pPr>
      <w:r w:rsidRPr="00940EA0">
        <w:rPr>
          <w:b/>
          <w:bCs/>
          <w:lang w:val="sr-Cyrl-CS"/>
        </w:rPr>
        <w:t>ОДЛУКУ</w:t>
      </w:r>
    </w:p>
    <w:p w:rsidR="00452B11" w:rsidRDefault="00452B11" w:rsidP="00452B11">
      <w:pPr>
        <w:spacing w:before="60" w:line="240" w:lineRule="exact"/>
        <w:jc w:val="both"/>
        <w:rPr>
          <w:lang w:val="sr-Cyrl-CS"/>
        </w:rPr>
      </w:pPr>
    </w:p>
    <w:p w:rsidR="00452B11" w:rsidRPr="00FE0041" w:rsidRDefault="00452B11" w:rsidP="00452B11">
      <w:pPr>
        <w:pStyle w:val="ListParagraph"/>
        <w:numPr>
          <w:ilvl w:val="0"/>
          <w:numId w:val="7"/>
        </w:numPr>
        <w:spacing w:before="60" w:line="240" w:lineRule="exact"/>
        <w:contextualSpacing w:val="0"/>
        <w:jc w:val="both"/>
        <w:rPr>
          <w:lang w:val="sr-Cyrl-CS"/>
        </w:rPr>
      </w:pPr>
      <w:r>
        <w:rPr>
          <w:lang w:val="sr-Cyrl-CS"/>
        </w:rPr>
        <w:t>Утврђује се предлог</w:t>
      </w:r>
      <w:r>
        <w:t xml:space="preserve"> </w:t>
      </w:r>
      <w:r>
        <w:rPr>
          <w:lang w:val="sr-Cyrl-CS"/>
        </w:rPr>
        <w:t xml:space="preserve">Финансијског плана Коморе здравствених установа Србије </w:t>
      </w:r>
      <w:r w:rsidRPr="00F660B0">
        <w:rPr>
          <w:lang w:val="sr-Cyrl-CS"/>
        </w:rPr>
        <w:t>за 201</w:t>
      </w:r>
      <w:r>
        <w:t>7</w:t>
      </w:r>
      <w:r w:rsidRPr="00F660B0">
        <w:rPr>
          <w:lang w:val="sr-Cyrl-CS"/>
        </w:rPr>
        <w:t>.</w:t>
      </w:r>
      <w:r>
        <w:rPr>
          <w:lang w:val="sr-Cyrl-CS"/>
        </w:rPr>
        <w:t xml:space="preserve"> годину</w:t>
      </w:r>
      <w:r>
        <w:t>:</w:t>
      </w:r>
    </w:p>
    <w:p w:rsidR="00452B11" w:rsidRPr="00436EF4" w:rsidRDefault="00452B11" w:rsidP="00452B11">
      <w:pPr>
        <w:spacing w:before="60" w:line="240" w:lineRule="exact"/>
        <w:rPr>
          <w:sz w:val="20"/>
          <w:szCs w:val="20"/>
        </w:rPr>
      </w:pPr>
      <w:r>
        <w:rPr>
          <w:lang w:val="sr-Cyrl-CS"/>
        </w:rPr>
        <w:t xml:space="preserve">                                                                                                            </w:t>
      </w:r>
      <w:r>
        <w:rPr>
          <w:sz w:val="20"/>
          <w:szCs w:val="20"/>
        </w:rPr>
        <w:t xml:space="preserve">      </w:t>
      </w:r>
      <w:r w:rsidRPr="00436EF4">
        <w:rPr>
          <w:sz w:val="20"/>
          <w:szCs w:val="20"/>
          <w:lang w:val="en-US"/>
        </w:rPr>
        <w:t>-износи у динарима-</w:t>
      </w:r>
    </w:p>
    <w:tbl>
      <w:tblPr>
        <w:tblW w:w="7900" w:type="dxa"/>
        <w:tblInd w:w="780" w:type="dxa"/>
        <w:tblLook w:val="04A0"/>
      </w:tblPr>
      <w:tblGrid>
        <w:gridCol w:w="520"/>
        <w:gridCol w:w="5654"/>
        <w:gridCol w:w="1726"/>
      </w:tblGrid>
      <w:tr w:rsidR="00452B11" w:rsidRPr="00436EF4" w:rsidTr="006723BA">
        <w:trPr>
          <w:trHeight w:val="540"/>
        </w:trPr>
        <w:tc>
          <w:tcPr>
            <w:tcW w:w="520" w:type="dxa"/>
            <w:tcBorders>
              <w:top w:val="single" w:sz="8" w:space="0" w:color="auto"/>
              <w:left w:val="single" w:sz="8" w:space="0" w:color="000000"/>
              <w:bottom w:val="single" w:sz="8" w:space="0" w:color="000000"/>
              <w:right w:val="single" w:sz="8" w:space="0" w:color="000000"/>
            </w:tcBorders>
            <w:shd w:val="clear" w:color="000000" w:fill="C0C0C0"/>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Р. бр.</w:t>
            </w:r>
          </w:p>
        </w:tc>
        <w:tc>
          <w:tcPr>
            <w:tcW w:w="5654" w:type="dxa"/>
            <w:tcBorders>
              <w:top w:val="single" w:sz="8" w:space="0" w:color="auto"/>
              <w:left w:val="nil"/>
              <w:bottom w:val="single" w:sz="8" w:space="0" w:color="000000"/>
              <w:right w:val="single" w:sz="8" w:space="0" w:color="000000"/>
            </w:tcBorders>
            <w:shd w:val="clear" w:color="000000" w:fill="C0C0C0"/>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Врста прихода и расхода</w:t>
            </w:r>
          </w:p>
        </w:tc>
        <w:tc>
          <w:tcPr>
            <w:tcW w:w="1726" w:type="dxa"/>
            <w:tcBorders>
              <w:top w:val="single" w:sz="8" w:space="0" w:color="auto"/>
              <w:left w:val="nil"/>
              <w:bottom w:val="single" w:sz="8" w:space="0" w:color="000000"/>
              <w:right w:val="single" w:sz="8" w:space="0" w:color="000000"/>
            </w:tcBorders>
            <w:shd w:val="clear" w:color="000000" w:fill="C0C0C0"/>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План за 2017.г.</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 </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ПРИХОДИ</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 </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1</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Приходи од чланарина</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33,484,113.98</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lastRenderedPageBreak/>
              <w:t>2</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Приходи од камата</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300,000.00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rPr>
                <w:rFonts w:ascii="Calibri" w:hAnsi="Calibri"/>
                <w:color w:val="000000"/>
                <w:lang w:val="en-US"/>
              </w:rPr>
            </w:pPr>
            <w:r w:rsidRPr="00436EF4">
              <w:rPr>
                <w:rFonts w:ascii="Calibri" w:hAnsi="Calibri"/>
                <w:color w:val="000000"/>
                <w:sz w:val="22"/>
                <w:szCs w:val="22"/>
                <w:lang w:val="en-US"/>
              </w:rPr>
              <w:t> </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rFonts w:ascii="Calibri" w:hAnsi="Calibri"/>
                <w:color w:val="000000"/>
                <w:lang w:val="en-US"/>
              </w:rPr>
            </w:pPr>
            <w:r w:rsidRPr="00436EF4">
              <w:rPr>
                <w:rFonts w:ascii="Calibri" w:hAnsi="Calibri"/>
                <w:color w:val="000000"/>
                <w:sz w:val="22"/>
                <w:szCs w:val="22"/>
                <w:lang w:val="en-US"/>
              </w:rPr>
              <w:t> </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rFonts w:ascii="Calibri" w:hAnsi="Calibri"/>
                <w:color w:val="000000"/>
                <w:lang w:val="en-US"/>
              </w:rPr>
            </w:pPr>
            <w:r w:rsidRPr="00436EF4">
              <w:rPr>
                <w:rFonts w:ascii="Calibri" w:hAnsi="Calibri"/>
                <w:color w:val="000000"/>
                <w:sz w:val="22"/>
                <w:szCs w:val="22"/>
                <w:lang w:val="en-US"/>
              </w:rPr>
              <w:t> </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3</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Приходи од вршења услуга (закуп)</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230,000.00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000000" w:fill="C0C0C0"/>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 </w:t>
            </w:r>
          </w:p>
        </w:tc>
        <w:tc>
          <w:tcPr>
            <w:tcW w:w="5654" w:type="dxa"/>
            <w:tcBorders>
              <w:top w:val="nil"/>
              <w:left w:val="nil"/>
              <w:bottom w:val="single" w:sz="8" w:space="0" w:color="000000"/>
              <w:right w:val="single" w:sz="8" w:space="0" w:color="000000"/>
            </w:tcBorders>
            <w:shd w:val="clear" w:color="000000" w:fill="C0C0C0"/>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Укупни приходи</w:t>
            </w:r>
          </w:p>
        </w:tc>
        <w:tc>
          <w:tcPr>
            <w:tcW w:w="1726" w:type="dxa"/>
            <w:tcBorders>
              <w:top w:val="nil"/>
              <w:left w:val="nil"/>
              <w:bottom w:val="single" w:sz="8" w:space="0" w:color="000000"/>
              <w:right w:val="single" w:sz="8" w:space="0" w:color="000000"/>
            </w:tcBorders>
            <w:shd w:val="clear" w:color="000000" w:fill="C0C0C0"/>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34,014,113.98</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 </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РАСХОДИ</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 </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1</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Трошкови материјала</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115,000.00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2</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Трошкови горива и енергије</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1,100,000.00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rPr>
                <w:rFonts w:ascii="Calibri" w:hAnsi="Calibri"/>
                <w:color w:val="000000"/>
                <w:lang w:val="en-US"/>
              </w:rPr>
            </w:pPr>
            <w:r w:rsidRPr="00436EF4">
              <w:rPr>
                <w:rFonts w:ascii="Calibri" w:hAnsi="Calibri"/>
                <w:color w:val="000000"/>
                <w:sz w:val="22"/>
                <w:szCs w:val="22"/>
                <w:lang w:val="en-US"/>
              </w:rPr>
              <w:t> </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rFonts w:ascii="Calibri" w:hAnsi="Calibri"/>
                <w:color w:val="000000"/>
                <w:lang w:val="en-US"/>
              </w:rPr>
            </w:pPr>
            <w:r w:rsidRPr="00436EF4">
              <w:rPr>
                <w:rFonts w:ascii="Calibri" w:hAnsi="Calibri"/>
                <w:color w:val="000000"/>
                <w:sz w:val="22"/>
                <w:szCs w:val="22"/>
                <w:lang w:val="en-US"/>
              </w:rPr>
              <w:t> </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rFonts w:ascii="Calibri" w:hAnsi="Calibri"/>
                <w:color w:val="000000"/>
                <w:lang w:val="en-US"/>
              </w:rPr>
            </w:pPr>
            <w:r w:rsidRPr="00436EF4">
              <w:rPr>
                <w:rFonts w:ascii="Calibri" w:hAnsi="Calibri"/>
                <w:color w:val="000000"/>
                <w:sz w:val="22"/>
                <w:szCs w:val="22"/>
                <w:lang w:val="en-US"/>
              </w:rPr>
              <w:t> </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3</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Бруто зараде</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17,627,535.00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4</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Доприноси на терет послодавца</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3,143,178.50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6</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Накнаде по ауторским уговорима</w:t>
            </w:r>
          </w:p>
        </w:tc>
        <w:tc>
          <w:tcPr>
            <w:tcW w:w="1726" w:type="dxa"/>
            <w:tcBorders>
              <w:top w:val="nil"/>
              <w:left w:val="nil"/>
              <w:bottom w:val="single" w:sz="8" w:space="0" w:color="auto"/>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640,000.00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7</w:t>
            </w:r>
          </w:p>
        </w:tc>
        <w:tc>
          <w:tcPr>
            <w:tcW w:w="5654" w:type="dxa"/>
            <w:tcBorders>
              <w:top w:val="nil"/>
              <w:left w:val="nil"/>
              <w:bottom w:val="single" w:sz="8" w:space="0" w:color="000000"/>
              <w:right w:val="single" w:sz="8" w:space="0" w:color="auto"/>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Трошкови накнаде председнику Управног одбора</w:t>
            </w:r>
          </w:p>
        </w:tc>
        <w:tc>
          <w:tcPr>
            <w:tcW w:w="1726" w:type="dxa"/>
            <w:tcBorders>
              <w:top w:val="nil"/>
              <w:left w:val="nil"/>
              <w:bottom w:val="single" w:sz="8" w:space="0" w:color="auto"/>
              <w:right w:val="single" w:sz="8" w:space="0" w:color="auto"/>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665,231.04</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7а</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Трошкови накнаде заменику председника Управног одбора</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399,138.60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8а</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Накнаде трошкова запослених – превоз</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450,000.00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8б</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Накнаде трошкова запослених – службени пут</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320,000.00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8ц</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Давања деци запослених – Нова Година</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50,000.00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8д</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Накнада трошкова другим физичким лицима</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250,000.00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8е</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Отпремнине и јубиларне награде</w:t>
            </w:r>
          </w:p>
        </w:tc>
        <w:tc>
          <w:tcPr>
            <w:tcW w:w="1726" w:type="dxa"/>
            <w:tcBorders>
              <w:top w:val="nil"/>
              <w:left w:val="nil"/>
              <w:bottom w:val="single" w:sz="8" w:space="0" w:color="000000"/>
              <w:right w:val="single" w:sz="8" w:space="0" w:color="000000"/>
            </w:tcBorders>
            <w:shd w:val="clear" w:color="000000" w:fill="FFFFFF"/>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2,053,036.00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10</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Трошкови транспортних услуга и ПТТ</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350,000.00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11</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Трошкови услуга одржавања</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829,836.84</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rPr>
                <w:rFonts w:ascii="Calibri" w:hAnsi="Calibri"/>
                <w:color w:val="000000"/>
                <w:lang w:val="en-US"/>
              </w:rPr>
            </w:pPr>
            <w:r w:rsidRPr="00436EF4">
              <w:rPr>
                <w:rFonts w:ascii="Calibri" w:hAnsi="Calibri"/>
                <w:color w:val="000000"/>
                <w:sz w:val="22"/>
                <w:szCs w:val="22"/>
                <w:lang w:val="en-US"/>
              </w:rPr>
              <w:t> </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Трошкови закупнина</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85,000.00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12</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Трошкови оглашавања, рекламе и пропаганде</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50,000.00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13</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Трошкови производних услуга</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700,000.00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14</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Трошкови амортизације</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2,600,000.00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15</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Трошкови непроизводних услуга</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731,158.00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16</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Трошкови репрезентације</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250,000.00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17</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Трошкови осигурања имовине</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150,000.00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18</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Трошкови платног промета</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85,000.00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19</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Трошкови чланарина</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320,000.00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19</w:t>
            </w:r>
          </w:p>
        </w:tc>
        <w:tc>
          <w:tcPr>
            <w:tcW w:w="5654" w:type="dxa"/>
            <w:tcBorders>
              <w:top w:val="nil"/>
              <w:left w:val="nil"/>
              <w:bottom w:val="single" w:sz="8" w:space="0" w:color="000000"/>
              <w:right w:val="single" w:sz="8" w:space="0" w:color="000000"/>
            </w:tcBorders>
            <w:shd w:val="clear" w:color="000000" w:fill="FFFFFF"/>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Накнада за грађевинско земљиште и порези који терете трошкове</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670,000.00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20</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Остали нематеријални трошкови/адм.таксе и стручна литература</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375,000.00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auto" w:fill="auto"/>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21</w:t>
            </w:r>
          </w:p>
        </w:tc>
        <w:tc>
          <w:tcPr>
            <w:tcW w:w="5654"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Остали трошкови</w:t>
            </w:r>
          </w:p>
        </w:tc>
        <w:tc>
          <w:tcPr>
            <w:tcW w:w="1726" w:type="dxa"/>
            <w:tcBorders>
              <w:top w:val="nil"/>
              <w:left w:val="nil"/>
              <w:bottom w:val="single" w:sz="8" w:space="0" w:color="000000"/>
              <w:right w:val="single" w:sz="8" w:space="0" w:color="000000"/>
            </w:tcBorders>
            <w:shd w:val="clear" w:color="auto" w:fill="auto"/>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5,000.00</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000000" w:fill="C0C0C0"/>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 </w:t>
            </w:r>
          </w:p>
        </w:tc>
        <w:tc>
          <w:tcPr>
            <w:tcW w:w="5654" w:type="dxa"/>
            <w:tcBorders>
              <w:top w:val="nil"/>
              <w:left w:val="nil"/>
              <w:bottom w:val="single" w:sz="8" w:space="0" w:color="000000"/>
              <w:right w:val="single" w:sz="8" w:space="0" w:color="000000"/>
            </w:tcBorders>
            <w:shd w:val="clear" w:color="000000" w:fill="C0C0C0"/>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Укупни расходи (од 1 до 20)</w:t>
            </w:r>
          </w:p>
        </w:tc>
        <w:tc>
          <w:tcPr>
            <w:tcW w:w="1726" w:type="dxa"/>
            <w:tcBorders>
              <w:top w:val="nil"/>
              <w:left w:val="nil"/>
              <w:bottom w:val="single" w:sz="8" w:space="0" w:color="000000"/>
              <w:right w:val="single" w:sz="8" w:space="0" w:color="000000"/>
            </w:tcBorders>
            <w:shd w:val="clear" w:color="000000" w:fill="C0C0C0"/>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34,014,113.98</w:t>
            </w:r>
          </w:p>
        </w:tc>
      </w:tr>
      <w:tr w:rsidR="00452B11" w:rsidRPr="00436EF4" w:rsidTr="006723BA">
        <w:trPr>
          <w:trHeight w:val="315"/>
        </w:trPr>
        <w:tc>
          <w:tcPr>
            <w:tcW w:w="520" w:type="dxa"/>
            <w:tcBorders>
              <w:top w:val="nil"/>
              <w:left w:val="single" w:sz="8" w:space="0" w:color="000000"/>
              <w:bottom w:val="single" w:sz="8" w:space="0" w:color="000000"/>
              <w:right w:val="single" w:sz="8" w:space="0" w:color="000000"/>
            </w:tcBorders>
            <w:shd w:val="clear" w:color="000000" w:fill="C0C0C0"/>
            <w:noWrap/>
            <w:vAlign w:val="bottom"/>
            <w:hideMark/>
          </w:tcPr>
          <w:p w:rsidR="00452B11" w:rsidRPr="00436EF4" w:rsidRDefault="00452B11" w:rsidP="006723BA">
            <w:pPr>
              <w:jc w:val="center"/>
              <w:rPr>
                <w:color w:val="000000"/>
                <w:sz w:val="20"/>
                <w:szCs w:val="20"/>
                <w:lang w:val="en-US"/>
              </w:rPr>
            </w:pPr>
            <w:r w:rsidRPr="00436EF4">
              <w:rPr>
                <w:color w:val="000000"/>
                <w:sz w:val="20"/>
                <w:szCs w:val="20"/>
                <w:lang w:val="en-US"/>
              </w:rPr>
              <w:t> </w:t>
            </w:r>
          </w:p>
        </w:tc>
        <w:tc>
          <w:tcPr>
            <w:tcW w:w="5654" w:type="dxa"/>
            <w:tcBorders>
              <w:top w:val="nil"/>
              <w:left w:val="nil"/>
              <w:bottom w:val="single" w:sz="8" w:space="0" w:color="000000"/>
              <w:right w:val="single" w:sz="8" w:space="0" w:color="000000"/>
            </w:tcBorders>
            <w:shd w:val="clear" w:color="000000" w:fill="C0C0C0"/>
            <w:noWrap/>
            <w:vAlign w:val="bottom"/>
            <w:hideMark/>
          </w:tcPr>
          <w:p w:rsidR="00452B11" w:rsidRPr="00436EF4" w:rsidRDefault="00452B11" w:rsidP="006723BA">
            <w:pPr>
              <w:rPr>
                <w:color w:val="000000"/>
                <w:sz w:val="20"/>
                <w:szCs w:val="20"/>
                <w:lang w:val="en-US"/>
              </w:rPr>
            </w:pPr>
            <w:r w:rsidRPr="00436EF4">
              <w:rPr>
                <w:color w:val="000000"/>
                <w:sz w:val="20"/>
                <w:szCs w:val="20"/>
                <w:lang w:val="en-US"/>
              </w:rPr>
              <w:t>РАЗЛИКА ПРИХОДА И РАСХОДА</w:t>
            </w:r>
          </w:p>
        </w:tc>
        <w:tc>
          <w:tcPr>
            <w:tcW w:w="1726" w:type="dxa"/>
            <w:tcBorders>
              <w:top w:val="nil"/>
              <w:left w:val="nil"/>
              <w:bottom w:val="single" w:sz="8" w:space="0" w:color="000000"/>
              <w:right w:val="single" w:sz="8" w:space="0" w:color="000000"/>
            </w:tcBorders>
            <w:shd w:val="clear" w:color="000000" w:fill="C0C0C0"/>
            <w:noWrap/>
            <w:vAlign w:val="bottom"/>
            <w:hideMark/>
          </w:tcPr>
          <w:p w:rsidR="00452B11" w:rsidRPr="00436EF4" w:rsidRDefault="00452B11" w:rsidP="006723BA">
            <w:pPr>
              <w:jc w:val="right"/>
              <w:rPr>
                <w:color w:val="000000"/>
                <w:sz w:val="20"/>
                <w:szCs w:val="20"/>
                <w:lang w:val="en-US"/>
              </w:rPr>
            </w:pPr>
            <w:r w:rsidRPr="00436EF4">
              <w:rPr>
                <w:color w:val="000000"/>
                <w:sz w:val="20"/>
                <w:szCs w:val="20"/>
                <w:lang w:val="en-US"/>
              </w:rPr>
              <w:t>0</w:t>
            </w:r>
          </w:p>
        </w:tc>
      </w:tr>
    </w:tbl>
    <w:p w:rsidR="00452B11" w:rsidRPr="00E206D5" w:rsidRDefault="00452B11" w:rsidP="00452B11">
      <w:pPr>
        <w:spacing w:before="60" w:line="240" w:lineRule="exact"/>
        <w:rPr>
          <w:lang w:val="sr-Cyrl-CS"/>
        </w:rPr>
      </w:pPr>
    </w:p>
    <w:p w:rsidR="00452B11" w:rsidRDefault="00452B11" w:rsidP="00452B11">
      <w:pPr>
        <w:pStyle w:val="ListParagraph"/>
        <w:spacing w:before="60" w:line="240" w:lineRule="exact"/>
        <w:rPr>
          <w:lang w:val="sr-Cyrl-CS"/>
        </w:rPr>
      </w:pPr>
      <w:r>
        <w:rPr>
          <w:lang w:val="sr-Cyrl-CS"/>
        </w:rPr>
        <w:t>2.   Наредбодавац за извршење наведеног Финансијског плана је секретар Коморе.</w:t>
      </w:r>
    </w:p>
    <w:p w:rsidR="00452B11" w:rsidRDefault="00452B11" w:rsidP="00452B11">
      <w:pPr>
        <w:pStyle w:val="ListParagraph"/>
        <w:numPr>
          <w:ilvl w:val="0"/>
          <w:numId w:val="6"/>
        </w:numPr>
        <w:spacing w:before="60" w:line="240" w:lineRule="exact"/>
        <w:contextualSpacing w:val="0"/>
        <w:jc w:val="both"/>
        <w:rPr>
          <w:lang w:val="sr-Cyrl-CS"/>
        </w:rPr>
      </w:pPr>
      <w:r>
        <w:rPr>
          <w:lang w:val="sr-Cyrl-CS"/>
        </w:rPr>
        <w:t>Утврђени предлог Финансијског плана доставити Скупштини Коморе на усвајање.</w:t>
      </w:r>
    </w:p>
    <w:p w:rsidR="00452B11" w:rsidRDefault="00452B11" w:rsidP="00452B11">
      <w:pPr>
        <w:pStyle w:val="ListParagraph"/>
        <w:numPr>
          <w:ilvl w:val="0"/>
          <w:numId w:val="6"/>
        </w:numPr>
        <w:spacing w:before="60" w:line="240" w:lineRule="exact"/>
        <w:contextualSpacing w:val="0"/>
        <w:jc w:val="both"/>
        <w:rPr>
          <w:lang w:val="sr-Cyrl-CS"/>
        </w:rPr>
      </w:pPr>
      <w:r>
        <w:rPr>
          <w:lang w:val="sr-Cyrl-CS"/>
        </w:rPr>
        <w:lastRenderedPageBreak/>
        <w:t xml:space="preserve">До доношења Финансијског плана од стране Скупштине Коморе, финансирање активности Коморе у </w:t>
      </w:r>
      <w:r w:rsidRPr="00F660B0">
        <w:rPr>
          <w:lang w:val="sr-Cyrl-CS"/>
        </w:rPr>
        <w:t>201</w:t>
      </w:r>
      <w:r>
        <w:t>7</w:t>
      </w:r>
      <w:r w:rsidRPr="00F660B0">
        <w:rPr>
          <w:lang w:val="sr-Cyrl-CS"/>
        </w:rPr>
        <w:t>.</w:t>
      </w:r>
      <w:r>
        <w:rPr>
          <w:lang w:val="sr-Cyrl-CS"/>
        </w:rPr>
        <w:t xml:space="preserve"> </w:t>
      </w:r>
      <w:r>
        <w:t>г</w:t>
      </w:r>
      <w:r>
        <w:rPr>
          <w:lang w:val="sr-Cyrl-CS"/>
        </w:rPr>
        <w:t>одини</w:t>
      </w:r>
      <w:r>
        <w:t xml:space="preserve"> </w:t>
      </w:r>
      <w:r>
        <w:rPr>
          <w:lang w:val="sr-Cyrl-CS"/>
        </w:rPr>
        <w:t xml:space="preserve">вршити у складу са напред утврђеним предлогом Финансијског плана </w:t>
      </w:r>
      <w:r w:rsidRPr="00F660B0">
        <w:rPr>
          <w:lang w:val="sr-Cyrl-CS"/>
        </w:rPr>
        <w:t>за 201</w:t>
      </w:r>
      <w:r>
        <w:t>7</w:t>
      </w:r>
      <w:r w:rsidRPr="00F660B0">
        <w:rPr>
          <w:lang w:val="sr-Cyrl-CS"/>
        </w:rPr>
        <w:t>. годину</w:t>
      </w:r>
      <w:r>
        <w:rPr>
          <w:lang w:val="sr-Cyrl-CS"/>
        </w:rPr>
        <w:t>.</w:t>
      </w:r>
    </w:p>
    <w:p w:rsidR="00452B11" w:rsidRDefault="00452B11" w:rsidP="00452B11">
      <w:pPr>
        <w:spacing w:before="60" w:line="240" w:lineRule="exact"/>
        <w:jc w:val="both"/>
        <w:rPr>
          <w:lang w:val="sr-Cyrl-CS"/>
        </w:rPr>
      </w:pPr>
    </w:p>
    <w:p w:rsidR="00452B11" w:rsidRDefault="00452B11" w:rsidP="00452B11">
      <w:pPr>
        <w:spacing w:before="60" w:line="240" w:lineRule="exact"/>
        <w:jc w:val="both"/>
        <w:rPr>
          <w:lang w:val="sr-Cyrl-CS"/>
        </w:rPr>
      </w:pPr>
    </w:p>
    <w:p w:rsidR="00452B11" w:rsidRDefault="00452B11" w:rsidP="00452B11">
      <w:pPr>
        <w:spacing w:before="60" w:line="240" w:lineRule="exact"/>
        <w:ind w:firstLine="720"/>
        <w:jc w:val="both"/>
        <w:rPr>
          <w:b/>
          <w:lang w:val="sr-Cyrl-CS"/>
        </w:rPr>
      </w:pPr>
      <w:r w:rsidRPr="00651AC0">
        <w:rPr>
          <w:b/>
          <w:lang w:val="sr-Cyrl-CS"/>
        </w:rPr>
        <w:t>ТАЧКА 6.</w:t>
      </w:r>
    </w:p>
    <w:p w:rsidR="00452B11" w:rsidRDefault="00452B11" w:rsidP="00452B11">
      <w:pPr>
        <w:spacing w:before="60" w:line="240" w:lineRule="exact"/>
        <w:ind w:firstLine="720"/>
        <w:jc w:val="both"/>
        <w:rPr>
          <w:b/>
          <w:lang w:val="sr-Cyrl-CS"/>
        </w:rPr>
      </w:pPr>
    </w:p>
    <w:p w:rsidR="00452B11" w:rsidRDefault="00452B11" w:rsidP="00452B11">
      <w:pPr>
        <w:spacing w:before="60" w:line="240" w:lineRule="exact"/>
        <w:ind w:firstLine="720"/>
        <w:jc w:val="both"/>
        <w:rPr>
          <w:lang w:val="sr-Cyrl-CS"/>
        </w:rPr>
      </w:pPr>
      <w:r>
        <w:rPr>
          <w:lang w:val="sr-Cyrl-CS"/>
        </w:rPr>
        <w:t xml:space="preserve">Извештај о попису имовине и обавеза Коморе са стањем на дан 31.12.2016. године, укратко је изложила Драга Корићанац, председник Комисије за попис и виши стручни сарадник у Стручној служби Коморе. Рекла је да је попис обављен у законском року и у складу са свим позитивним прописима те да нема ни мањкова ни вишкова. Посебно је образложила предлог комисије да се расходују таксативно наведена основна средства, која су већ отписана и књиговодствено искњижена. </w:t>
      </w:r>
    </w:p>
    <w:p w:rsidR="00452B11" w:rsidRDefault="00452B11" w:rsidP="00452B11">
      <w:pPr>
        <w:spacing w:before="60" w:line="240" w:lineRule="exact"/>
        <w:ind w:firstLine="720"/>
        <w:jc w:val="both"/>
        <w:rPr>
          <w:lang w:val="sr-Cyrl-CS"/>
        </w:rPr>
      </w:pPr>
      <w:r>
        <w:rPr>
          <w:lang w:val="sr-Cyrl-CS"/>
        </w:rPr>
        <w:t xml:space="preserve">Проф. Константинидис приметио је да је попис у Комори релативно једноставан у односу на пописе у здравственим установама и позвао чланове Управног одбора да га усвоје, како је предложен. </w:t>
      </w:r>
    </w:p>
    <w:p w:rsidR="00452B11" w:rsidRDefault="00452B11" w:rsidP="00452B11">
      <w:pPr>
        <w:spacing w:before="60" w:line="240" w:lineRule="exact"/>
        <w:ind w:firstLine="720"/>
        <w:jc w:val="both"/>
        <w:rPr>
          <w:lang w:val="sr-Cyrl-CS"/>
        </w:rPr>
      </w:pPr>
      <w:r>
        <w:rPr>
          <w:lang w:val="sr-Cyrl-CS"/>
        </w:rPr>
        <w:t xml:space="preserve">Управни одбор затим је једногласно донео </w:t>
      </w:r>
    </w:p>
    <w:p w:rsidR="00452B11" w:rsidRDefault="00452B11" w:rsidP="00452B11">
      <w:pPr>
        <w:spacing w:before="60" w:line="240" w:lineRule="exact"/>
        <w:ind w:firstLine="720"/>
        <w:jc w:val="both"/>
        <w:rPr>
          <w:lang w:val="sr-Cyrl-CS"/>
        </w:rPr>
      </w:pPr>
    </w:p>
    <w:p w:rsidR="00452B11" w:rsidRDefault="00452B11" w:rsidP="00452B11">
      <w:pPr>
        <w:spacing w:before="60" w:line="240" w:lineRule="exact"/>
        <w:ind w:firstLine="720"/>
        <w:jc w:val="both"/>
        <w:rPr>
          <w:lang w:val="sr-Cyrl-CS"/>
        </w:rPr>
      </w:pPr>
    </w:p>
    <w:p w:rsidR="00452B11" w:rsidRPr="00770A8B" w:rsidRDefault="00452B11" w:rsidP="00452B11">
      <w:pPr>
        <w:spacing w:line="240" w:lineRule="exact"/>
        <w:jc w:val="center"/>
        <w:rPr>
          <w:b/>
          <w:lang w:val="sr-Cyrl-CS"/>
        </w:rPr>
      </w:pPr>
      <w:r w:rsidRPr="00770A8B">
        <w:rPr>
          <w:b/>
          <w:lang w:val="sr-Cyrl-CS"/>
        </w:rPr>
        <w:t>ОДЛУКУ</w:t>
      </w:r>
    </w:p>
    <w:p w:rsidR="00452B11" w:rsidRPr="00770A8B" w:rsidRDefault="00452B11" w:rsidP="00452B11">
      <w:pPr>
        <w:spacing w:line="240" w:lineRule="exact"/>
        <w:jc w:val="center"/>
        <w:rPr>
          <w:b/>
          <w:lang w:val="sr-Cyrl-CS"/>
        </w:rPr>
      </w:pPr>
      <w:r w:rsidRPr="00770A8B">
        <w:rPr>
          <w:b/>
          <w:lang w:val="sr-Cyrl-CS"/>
        </w:rPr>
        <w:t>О УСВАЈАЊУ ИЗВЕШТАЈА О ПОПИСУ ИМОВИНЕ И ОБАВЕЗА</w:t>
      </w:r>
    </w:p>
    <w:p w:rsidR="00452B11" w:rsidRPr="00770A8B" w:rsidRDefault="00452B11" w:rsidP="00452B11">
      <w:pPr>
        <w:spacing w:line="240" w:lineRule="exact"/>
        <w:jc w:val="center"/>
        <w:rPr>
          <w:b/>
          <w:lang w:val="sr-Cyrl-CS"/>
        </w:rPr>
      </w:pPr>
      <w:r w:rsidRPr="00770A8B">
        <w:rPr>
          <w:b/>
          <w:lang w:val="sr-Cyrl-CS"/>
        </w:rPr>
        <w:t xml:space="preserve"> КОМОРЕ ЗДРАВСТВЕНИХ УСТАНОВА СРБИЈЕ</w:t>
      </w:r>
    </w:p>
    <w:p w:rsidR="00452B11" w:rsidRPr="00770A8B" w:rsidRDefault="00452B11" w:rsidP="00452B11">
      <w:pPr>
        <w:spacing w:line="240" w:lineRule="exact"/>
        <w:jc w:val="center"/>
        <w:rPr>
          <w:b/>
          <w:lang w:val="sr-Cyrl-CS"/>
        </w:rPr>
      </w:pPr>
      <w:r w:rsidRPr="00770A8B">
        <w:rPr>
          <w:b/>
          <w:lang w:val="sr-Cyrl-CS"/>
        </w:rPr>
        <w:t>са стањем на дан 31.12.201</w:t>
      </w:r>
      <w:r w:rsidRPr="00770A8B">
        <w:rPr>
          <w:b/>
        </w:rPr>
        <w:t>6</w:t>
      </w:r>
      <w:r w:rsidRPr="00770A8B">
        <w:rPr>
          <w:b/>
          <w:lang w:val="sr-Cyrl-CS"/>
        </w:rPr>
        <w:t>. године</w:t>
      </w:r>
    </w:p>
    <w:p w:rsidR="00452B11" w:rsidRPr="00770A8B" w:rsidRDefault="00452B11" w:rsidP="00452B11">
      <w:pPr>
        <w:spacing w:before="60" w:line="240" w:lineRule="exact"/>
        <w:jc w:val="both"/>
        <w:rPr>
          <w:lang w:val="sr-Cyrl-CS"/>
        </w:rPr>
      </w:pPr>
    </w:p>
    <w:p w:rsidR="00452B11" w:rsidRPr="00770A8B" w:rsidRDefault="00452B11" w:rsidP="00452B11">
      <w:pPr>
        <w:spacing w:before="60" w:line="240" w:lineRule="exact"/>
        <w:jc w:val="both"/>
        <w:rPr>
          <w:lang w:val="sr-Cyrl-CS"/>
        </w:rPr>
      </w:pPr>
      <w:r w:rsidRPr="00770A8B">
        <w:rPr>
          <w:lang w:val="sr-Cyrl-CS"/>
        </w:rPr>
        <w:tab/>
        <w:t>1. Усваја се Извештај о попису имовине и обавеза Коморе здравствених установа Србије са стањем на дан 31.12.201</w:t>
      </w:r>
      <w:r w:rsidRPr="00770A8B">
        <w:t>6</w:t>
      </w:r>
      <w:r w:rsidRPr="00770A8B">
        <w:rPr>
          <w:lang w:val="sr-Cyrl-CS"/>
        </w:rPr>
        <w:t xml:space="preserve">. године, који је саставила Комисија за попис имовине и обавеза, именована </w:t>
      </w:r>
      <w:r>
        <w:rPr>
          <w:lang w:val="sr-Cyrl-CS"/>
        </w:rPr>
        <w:t>решењем с</w:t>
      </w:r>
      <w:r w:rsidRPr="00770A8B">
        <w:rPr>
          <w:lang w:val="sr-Cyrl-CS"/>
        </w:rPr>
        <w:t>екретара Коморе</w:t>
      </w:r>
      <w:r>
        <w:rPr>
          <w:lang w:val="sr-Cyrl-CS"/>
        </w:rPr>
        <w:t xml:space="preserve"> бр. </w:t>
      </w:r>
      <w:r w:rsidRPr="00770A8B">
        <w:t>712</w:t>
      </w:r>
      <w:r w:rsidRPr="00770A8B">
        <w:rPr>
          <w:lang w:val="sr-Cyrl-CS"/>
        </w:rPr>
        <w:t>/1</w:t>
      </w:r>
      <w:r w:rsidRPr="00770A8B">
        <w:t>6</w:t>
      </w:r>
      <w:r w:rsidRPr="00770A8B">
        <w:rPr>
          <w:lang w:val="sr-Cyrl-CS"/>
        </w:rPr>
        <w:t xml:space="preserve"> од </w:t>
      </w:r>
      <w:r w:rsidRPr="00770A8B">
        <w:t>30</w:t>
      </w:r>
      <w:r w:rsidRPr="00770A8B">
        <w:rPr>
          <w:lang w:val="sr-Cyrl-CS"/>
        </w:rPr>
        <w:t>.1</w:t>
      </w:r>
      <w:r w:rsidRPr="00770A8B">
        <w:t>1</w:t>
      </w:r>
      <w:r w:rsidRPr="00770A8B">
        <w:rPr>
          <w:lang w:val="sr-Cyrl-CS"/>
        </w:rPr>
        <w:t>.201</w:t>
      </w:r>
      <w:r w:rsidRPr="00770A8B">
        <w:t>6</w:t>
      </w:r>
      <w:r w:rsidRPr="00770A8B">
        <w:rPr>
          <w:lang w:val="sr-Cyrl-CS"/>
        </w:rPr>
        <w:t>. године.</w:t>
      </w:r>
    </w:p>
    <w:p w:rsidR="00452B11" w:rsidRPr="00770A8B" w:rsidRDefault="00452B11" w:rsidP="00452B11">
      <w:pPr>
        <w:spacing w:before="60" w:line="240" w:lineRule="exact"/>
        <w:ind w:firstLine="720"/>
        <w:jc w:val="both"/>
      </w:pPr>
      <w:r w:rsidRPr="00770A8B">
        <w:rPr>
          <w:lang w:val="sr-Cyrl-CS"/>
        </w:rPr>
        <w:t>2. Расходовати основна средстава према предлогу Комисије из тачке</w:t>
      </w:r>
      <w:r w:rsidRPr="00770A8B">
        <w:t xml:space="preserve"> 1.</w:t>
      </w:r>
      <w:r w:rsidRPr="00770A8B">
        <w:rPr>
          <w:lang w:val="sr-Cyrl-CS"/>
        </w:rPr>
        <w:t xml:space="preserve"> подтачка 1.2</w:t>
      </w:r>
      <w:r>
        <w:t xml:space="preserve">. </w:t>
      </w:r>
      <w:r w:rsidRPr="00770A8B">
        <w:rPr>
          <w:lang w:val="sr-Cyrl-CS"/>
        </w:rPr>
        <w:t>Извештаја о попису имовине и обавеза Коморе здравствених установа Србије</w:t>
      </w:r>
      <w:r>
        <w:rPr>
          <w:lang w:val="sr-Cyrl-CS"/>
        </w:rPr>
        <w:t>,</w:t>
      </w:r>
      <w:r w:rsidRPr="00770A8B">
        <w:rPr>
          <w:lang w:val="sr-Cyrl-CS"/>
        </w:rPr>
        <w:t xml:space="preserve"> са стањем на дан 31.12.201</w:t>
      </w:r>
      <w:r w:rsidRPr="00770A8B">
        <w:t>6</w:t>
      </w:r>
      <w:r w:rsidRPr="00770A8B">
        <w:rPr>
          <w:lang w:val="sr-Cyrl-CS"/>
        </w:rPr>
        <w:t>.</w:t>
      </w:r>
      <w:r>
        <w:t xml:space="preserve"> </w:t>
      </w:r>
      <w:r w:rsidRPr="00770A8B">
        <w:rPr>
          <w:lang w:val="sr-Cyrl-CS"/>
        </w:rPr>
        <w:t>године.</w:t>
      </w:r>
    </w:p>
    <w:p w:rsidR="00452B11" w:rsidRPr="00770A8B" w:rsidRDefault="00452B11" w:rsidP="00452B11">
      <w:pPr>
        <w:spacing w:before="60" w:line="240" w:lineRule="exact"/>
        <w:ind w:firstLine="720"/>
        <w:jc w:val="both"/>
        <w:rPr>
          <w:lang w:val="sr-Cyrl-CS"/>
        </w:rPr>
      </w:pPr>
      <w:r w:rsidRPr="00770A8B">
        <w:t>3</w:t>
      </w:r>
      <w:r w:rsidRPr="00770A8B">
        <w:rPr>
          <w:lang w:val="sr-Cyrl-CS"/>
        </w:rPr>
        <w:t>. Секретар Коморе формираће посебну комисију, која ће расходовану опрему уклонити</w:t>
      </w:r>
      <w:r>
        <w:rPr>
          <w:lang w:val="sr-Cyrl-CS"/>
        </w:rPr>
        <w:t>,</w:t>
      </w:r>
      <w:r w:rsidRPr="00770A8B">
        <w:rPr>
          <w:lang w:val="sr-Cyrl-CS"/>
        </w:rPr>
        <w:t xml:space="preserve"> односно отуђити</w:t>
      </w:r>
      <w:r>
        <w:rPr>
          <w:lang w:val="sr-Cyrl-CS"/>
        </w:rPr>
        <w:t>,</w:t>
      </w:r>
      <w:r w:rsidRPr="00770A8B">
        <w:rPr>
          <w:lang w:val="sr-Cyrl-CS"/>
        </w:rPr>
        <w:t xml:space="preserve"> у складу са пр</w:t>
      </w:r>
      <w:r>
        <w:rPr>
          <w:lang w:val="sr-Cyrl-CS"/>
        </w:rPr>
        <w:t>о</w:t>
      </w:r>
      <w:r w:rsidRPr="00770A8B">
        <w:rPr>
          <w:lang w:val="sr-Cyrl-CS"/>
        </w:rPr>
        <w:t xml:space="preserve">писима који регулишу ову област.  </w:t>
      </w:r>
    </w:p>
    <w:p w:rsidR="00452B11" w:rsidRPr="00770A8B" w:rsidRDefault="00452B11" w:rsidP="00452B11">
      <w:pPr>
        <w:spacing w:before="60" w:line="240" w:lineRule="exact"/>
        <w:ind w:firstLine="720"/>
        <w:jc w:val="both"/>
        <w:rPr>
          <w:lang w:val="sr-Cyrl-CS"/>
        </w:rPr>
      </w:pPr>
      <w:r w:rsidRPr="00770A8B">
        <w:rPr>
          <w:lang w:val="sr-Cyrl-CS"/>
        </w:rPr>
        <w:t>4. Саставни део ове одлуке је Извештај о извршеном попису.</w:t>
      </w:r>
    </w:p>
    <w:p w:rsidR="00452B11" w:rsidRPr="00770A8B" w:rsidRDefault="00452B11" w:rsidP="00452B11">
      <w:pPr>
        <w:spacing w:before="60" w:line="240" w:lineRule="exact"/>
        <w:ind w:firstLine="720"/>
        <w:jc w:val="both"/>
        <w:rPr>
          <w:lang w:val="sr-Cyrl-CS"/>
        </w:rPr>
      </w:pPr>
      <w:r w:rsidRPr="00770A8B">
        <w:rPr>
          <w:lang w:val="sr-Cyrl-CS"/>
        </w:rPr>
        <w:t>5. Одлуку са Извештајем о извршеном попису доставити рачуноводству</w:t>
      </w:r>
      <w:r>
        <w:rPr>
          <w:lang w:val="sr-Cyrl-CS"/>
        </w:rPr>
        <w:t>,</w:t>
      </w:r>
      <w:r w:rsidRPr="00770A8B">
        <w:rPr>
          <w:lang w:val="sr-Cyrl-CS"/>
        </w:rPr>
        <w:t xml:space="preserve"> ради усклађивања књиговодственог стања пописане имовине и обавеза са стварним стањем. </w:t>
      </w:r>
    </w:p>
    <w:p w:rsidR="00452B11" w:rsidRDefault="00452B11" w:rsidP="00452B11">
      <w:pPr>
        <w:spacing w:before="60" w:line="240" w:lineRule="exact"/>
        <w:ind w:firstLine="720"/>
        <w:jc w:val="both"/>
        <w:rPr>
          <w:lang w:val="sr-Cyrl-CS"/>
        </w:rPr>
      </w:pPr>
      <w:r w:rsidRPr="00770A8B">
        <w:rPr>
          <w:lang w:val="sr-Cyrl-CS"/>
        </w:rPr>
        <w:t>6. Секретар Коморе обезбедиће спровођење ове одлуке.</w:t>
      </w:r>
    </w:p>
    <w:p w:rsidR="00452B11" w:rsidRDefault="00452B11" w:rsidP="00452B11">
      <w:pPr>
        <w:spacing w:before="60" w:line="240" w:lineRule="exact"/>
        <w:ind w:firstLine="720"/>
        <w:jc w:val="both"/>
        <w:rPr>
          <w:lang w:val="sr-Cyrl-CS"/>
        </w:rPr>
      </w:pPr>
    </w:p>
    <w:p w:rsidR="00452B11" w:rsidRDefault="00452B11" w:rsidP="00452B11">
      <w:pPr>
        <w:spacing w:before="60" w:line="240" w:lineRule="exact"/>
        <w:ind w:firstLine="720"/>
        <w:jc w:val="both"/>
        <w:rPr>
          <w:lang w:val="sr-Cyrl-CS"/>
        </w:rPr>
      </w:pPr>
    </w:p>
    <w:p w:rsidR="00452B11" w:rsidRDefault="00452B11" w:rsidP="00452B11">
      <w:pPr>
        <w:spacing w:before="60" w:line="240" w:lineRule="exact"/>
        <w:ind w:firstLine="720"/>
        <w:jc w:val="both"/>
        <w:rPr>
          <w:b/>
          <w:lang w:val="sr-Cyrl-CS"/>
        </w:rPr>
      </w:pPr>
      <w:r>
        <w:rPr>
          <w:b/>
          <w:lang w:val="sr-Cyrl-CS"/>
        </w:rPr>
        <w:t xml:space="preserve">ТАЧКА 7. </w:t>
      </w:r>
    </w:p>
    <w:p w:rsidR="00452B11" w:rsidRDefault="00452B11" w:rsidP="00452B11">
      <w:pPr>
        <w:spacing w:before="60" w:line="240" w:lineRule="exact"/>
        <w:ind w:firstLine="720"/>
        <w:jc w:val="both"/>
        <w:rPr>
          <w:b/>
          <w:lang w:val="sr-Cyrl-CS"/>
        </w:rPr>
      </w:pPr>
    </w:p>
    <w:p w:rsidR="00452B11" w:rsidRDefault="00452B11" w:rsidP="00452B11">
      <w:pPr>
        <w:spacing w:before="60" w:line="240" w:lineRule="exact"/>
        <w:ind w:firstLine="720"/>
        <w:jc w:val="both"/>
        <w:rPr>
          <w:lang w:val="sr-Cyrl-CS"/>
        </w:rPr>
      </w:pPr>
      <w:r>
        <w:rPr>
          <w:lang w:val="sr-Cyrl-CS"/>
        </w:rPr>
        <w:t>Проф. др Христо Анђелски, главни и одговорни уредник часописа „Здравствена заштита“, рекао је да часопис, чији је издавач Комора, излази од 1972. године, тако да је 2016. година била 45. година излажења овог часописа. У 2016. години објављена су планирана четири броја, са укупним обимом текста од око 280 страница. Квалитет објављених радова је на високом нивоу јер су то углавном оригинални радови. Исто се планира и за 2017. годину. Теме радова односе се, претежно, на стање и појаве које су актуелне или представљају допринос, у ширем смислу, социјално-медицинској теорији, као и свакодневном раду и активностима здравствених установа.</w:t>
      </w:r>
    </w:p>
    <w:p w:rsidR="00452B11" w:rsidRDefault="00452B11" w:rsidP="00452B11">
      <w:pPr>
        <w:spacing w:before="60" w:line="240" w:lineRule="exact"/>
        <w:ind w:firstLine="720"/>
        <w:jc w:val="both"/>
        <w:rPr>
          <w:lang w:val="sr-Cyrl-CS"/>
        </w:rPr>
      </w:pPr>
      <w:r>
        <w:rPr>
          <w:lang w:val="sr-Cyrl-CS"/>
        </w:rPr>
        <w:lastRenderedPageBreak/>
        <w:t xml:space="preserve">Проф. Константинидис нагласио је да часопис још увек има ознаку М53 у регистру Министарства просвете, науке и технолошког развоја, као „национална публикација од посебног интереса за науку“, што подразумева да се уважава за примаријат и лиценцирање. Сматра да су четири броја годишње минимум на којем се мора остати. </w:t>
      </w:r>
    </w:p>
    <w:p w:rsidR="00452B11" w:rsidRDefault="00452B11" w:rsidP="00452B11">
      <w:pPr>
        <w:spacing w:before="60" w:line="240" w:lineRule="exact"/>
        <w:ind w:firstLine="720"/>
        <w:jc w:val="both"/>
        <w:rPr>
          <w:lang w:val="sr-Cyrl-CS"/>
        </w:rPr>
      </w:pPr>
      <w:r>
        <w:rPr>
          <w:lang w:val="sr-Cyrl-CS"/>
        </w:rPr>
        <w:t>Управни одбор је затим једногласно донео</w:t>
      </w:r>
    </w:p>
    <w:p w:rsidR="00452B11" w:rsidRDefault="00452B11" w:rsidP="00452B11">
      <w:pPr>
        <w:spacing w:before="60" w:line="240" w:lineRule="exact"/>
        <w:ind w:firstLine="720"/>
        <w:jc w:val="both"/>
        <w:rPr>
          <w:lang w:val="sr-Cyrl-CS"/>
        </w:rPr>
      </w:pPr>
    </w:p>
    <w:p w:rsidR="00452B11" w:rsidRPr="00940EA0" w:rsidRDefault="00452B11" w:rsidP="00452B11">
      <w:pPr>
        <w:spacing w:before="60" w:line="240" w:lineRule="exact"/>
        <w:jc w:val="center"/>
        <w:rPr>
          <w:b/>
          <w:bCs/>
          <w:lang w:val="sr-Cyrl-CS"/>
        </w:rPr>
      </w:pPr>
      <w:r w:rsidRPr="00940EA0">
        <w:rPr>
          <w:b/>
          <w:bCs/>
          <w:lang w:val="sr-Cyrl-CS"/>
        </w:rPr>
        <w:t>ОДЛУКУ</w:t>
      </w:r>
    </w:p>
    <w:p w:rsidR="00452B11" w:rsidRDefault="00452B11" w:rsidP="00452B11">
      <w:pPr>
        <w:spacing w:before="60" w:line="240" w:lineRule="exact"/>
        <w:jc w:val="both"/>
        <w:rPr>
          <w:lang w:val="sr-Cyrl-CS"/>
        </w:rPr>
      </w:pPr>
    </w:p>
    <w:p w:rsidR="00452B11" w:rsidRDefault="00452B11" w:rsidP="00452B11">
      <w:pPr>
        <w:pStyle w:val="ListParagraph"/>
        <w:numPr>
          <w:ilvl w:val="0"/>
          <w:numId w:val="8"/>
        </w:numPr>
        <w:spacing w:before="60" w:line="240" w:lineRule="exact"/>
        <w:contextualSpacing w:val="0"/>
        <w:jc w:val="both"/>
        <w:rPr>
          <w:lang w:val="sr-Cyrl-CS"/>
        </w:rPr>
      </w:pPr>
      <w:r>
        <w:rPr>
          <w:lang w:val="sr-Cyrl-CS"/>
        </w:rPr>
        <w:t xml:space="preserve">Усваја се Извештај Уредништва часописа ''Здравствена заштита'' за </w:t>
      </w:r>
      <w:r w:rsidRPr="00536EB9">
        <w:rPr>
          <w:lang w:val="sr-Cyrl-CS"/>
        </w:rPr>
        <w:t>201</w:t>
      </w:r>
      <w:r>
        <w:t>6</w:t>
      </w:r>
      <w:r w:rsidRPr="00536EB9">
        <w:rPr>
          <w:lang w:val="sr-Cyrl-CS"/>
        </w:rPr>
        <w:t>.</w:t>
      </w:r>
      <w:r>
        <w:rPr>
          <w:lang w:val="sr-Cyrl-CS"/>
        </w:rPr>
        <w:t xml:space="preserve"> годину.</w:t>
      </w:r>
    </w:p>
    <w:p w:rsidR="00452B11" w:rsidRDefault="00452B11" w:rsidP="00452B11">
      <w:pPr>
        <w:pStyle w:val="ListParagraph"/>
        <w:numPr>
          <w:ilvl w:val="0"/>
          <w:numId w:val="8"/>
        </w:numPr>
        <w:spacing w:before="60" w:line="240" w:lineRule="exact"/>
        <w:contextualSpacing w:val="0"/>
        <w:jc w:val="both"/>
        <w:rPr>
          <w:lang w:val="sr-Cyrl-CS"/>
        </w:rPr>
      </w:pPr>
      <w:r>
        <w:rPr>
          <w:lang w:val="sr-Cyrl-CS"/>
        </w:rPr>
        <w:t xml:space="preserve">Усваја се Програмска оријентација и План издавања часописа ''Здравствена заштита'' у </w:t>
      </w:r>
      <w:r w:rsidRPr="00536EB9">
        <w:rPr>
          <w:lang w:val="sr-Cyrl-CS"/>
        </w:rPr>
        <w:t>201</w:t>
      </w:r>
      <w:r>
        <w:t>7</w:t>
      </w:r>
      <w:r w:rsidRPr="00536EB9">
        <w:rPr>
          <w:lang w:val="sr-Cyrl-CS"/>
        </w:rPr>
        <w:t>.</w:t>
      </w:r>
      <w:r>
        <w:rPr>
          <w:lang w:val="sr-Cyrl-CS"/>
        </w:rPr>
        <w:t xml:space="preserve"> години.</w:t>
      </w:r>
    </w:p>
    <w:p w:rsidR="00452B11" w:rsidRDefault="00452B11" w:rsidP="00452B11">
      <w:pPr>
        <w:pStyle w:val="ListParagraph"/>
        <w:numPr>
          <w:ilvl w:val="0"/>
          <w:numId w:val="8"/>
        </w:numPr>
        <w:spacing w:before="60" w:line="240" w:lineRule="exact"/>
        <w:contextualSpacing w:val="0"/>
        <w:jc w:val="both"/>
        <w:rPr>
          <w:lang w:val="sr-Cyrl-CS"/>
        </w:rPr>
      </w:pPr>
      <w:r>
        <w:rPr>
          <w:lang w:val="sr-Cyrl-CS"/>
        </w:rPr>
        <w:t xml:space="preserve">Саставни део ове </w:t>
      </w:r>
      <w:r>
        <w:t>o</w:t>
      </w:r>
      <w:r>
        <w:rPr>
          <w:lang w:val="sr-Cyrl-CS"/>
        </w:rPr>
        <w:t>длуке је Извештај Уредништва и Програмска оријентација и План издавања часописа.</w:t>
      </w:r>
    </w:p>
    <w:p w:rsidR="00452B11" w:rsidRPr="006712D4" w:rsidRDefault="00452B11" w:rsidP="00452B11">
      <w:pPr>
        <w:jc w:val="both"/>
        <w:rPr>
          <w:b/>
        </w:rPr>
      </w:pPr>
    </w:p>
    <w:p w:rsidR="00452B11" w:rsidRDefault="00452B11" w:rsidP="00452B11">
      <w:pPr>
        <w:ind w:firstLine="720"/>
        <w:jc w:val="both"/>
        <w:rPr>
          <w:b/>
        </w:rPr>
      </w:pPr>
    </w:p>
    <w:p w:rsidR="00452B11" w:rsidRDefault="00452B11" w:rsidP="00452B11">
      <w:pPr>
        <w:ind w:firstLine="720"/>
        <w:jc w:val="both"/>
      </w:pPr>
      <w:r>
        <w:t>Седница је завршила са радом у 12,10 часова.</w:t>
      </w:r>
    </w:p>
    <w:p w:rsidR="00452B11" w:rsidRDefault="00452B11" w:rsidP="00452B11">
      <w:pPr>
        <w:ind w:firstLine="720"/>
        <w:jc w:val="both"/>
      </w:pPr>
    </w:p>
    <w:p w:rsidR="00452B11" w:rsidRDefault="00452B11" w:rsidP="00452B11">
      <w:pPr>
        <w:ind w:firstLine="720"/>
        <w:jc w:val="both"/>
      </w:pPr>
    </w:p>
    <w:p w:rsidR="00452B11" w:rsidRDefault="00452B11" w:rsidP="00452B11">
      <w:pPr>
        <w:jc w:val="both"/>
      </w:pPr>
      <w:r>
        <w:t xml:space="preserve">Записник саставила:                                                                       </w:t>
      </w:r>
      <w:r w:rsidRPr="002A3238">
        <w:rPr>
          <w:b/>
        </w:rPr>
        <w:t>ПРЕДСЕДНИК</w:t>
      </w:r>
    </w:p>
    <w:p w:rsidR="00452B11" w:rsidRDefault="00452B11" w:rsidP="00452B11">
      <w:pPr>
        <w:jc w:val="both"/>
        <w:rPr>
          <w:b/>
        </w:rPr>
      </w:pPr>
      <w:r>
        <w:t xml:space="preserve">Татјана Мартинац                                                                      </w:t>
      </w:r>
      <w:r>
        <w:rPr>
          <w:b/>
        </w:rPr>
        <w:t>УПРАВНОГ ОДБОРА</w:t>
      </w:r>
    </w:p>
    <w:p w:rsidR="00452B11" w:rsidRPr="002A3238" w:rsidRDefault="00452B11" w:rsidP="00452B11">
      <w:pPr>
        <w:jc w:val="both"/>
      </w:pPr>
      <w:r>
        <w:rPr>
          <w:b/>
        </w:rPr>
        <w:t xml:space="preserve">                                                                                          </w:t>
      </w:r>
      <w:r>
        <w:t>проф. др Георгиос Константинидис</w:t>
      </w:r>
    </w:p>
    <w:p w:rsidR="00701193" w:rsidRDefault="00701193"/>
    <w:sectPr w:rsidR="00701193" w:rsidSect="0002223F">
      <w:footerReference w:type="default" r:id="rId6"/>
      <w:pgSz w:w="12240" w:h="15840"/>
      <w:pgMar w:top="1440" w:right="1080" w:bottom="144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2351"/>
      <w:docPartObj>
        <w:docPartGallery w:val="Page Numbers (Bottom of Page)"/>
        <w:docPartUnique/>
      </w:docPartObj>
    </w:sdtPr>
    <w:sdtEndPr/>
    <w:sdtContent>
      <w:p w:rsidR="001F3467" w:rsidRDefault="00452B11">
        <w:pPr>
          <w:pStyle w:val="Footer"/>
          <w:jc w:val="right"/>
        </w:pPr>
        <w:r>
          <w:fldChar w:fldCharType="begin"/>
        </w:r>
        <w:r>
          <w:instrText xml:space="preserve"> PAGE   \* MERGEFORMAT </w:instrText>
        </w:r>
        <w:r>
          <w:fldChar w:fldCharType="separate"/>
        </w:r>
        <w:r>
          <w:rPr>
            <w:noProof/>
          </w:rPr>
          <w:t>2</w:t>
        </w:r>
        <w:r>
          <w:fldChar w:fldCharType="end"/>
        </w:r>
      </w:p>
    </w:sdtContent>
  </w:sdt>
  <w:p w:rsidR="001F3467" w:rsidRDefault="00452B11">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F33C7"/>
    <w:multiLevelType w:val="hybridMultilevel"/>
    <w:tmpl w:val="7584D060"/>
    <w:lvl w:ilvl="0" w:tplc="72F244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EB50B74"/>
    <w:multiLevelType w:val="hybridMultilevel"/>
    <w:tmpl w:val="E0F24F4A"/>
    <w:lvl w:ilvl="0" w:tplc="6062E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6230A0"/>
    <w:multiLevelType w:val="hybridMultilevel"/>
    <w:tmpl w:val="6C28D22A"/>
    <w:lvl w:ilvl="0" w:tplc="736EE268">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7C16BB"/>
    <w:multiLevelType w:val="hybridMultilevel"/>
    <w:tmpl w:val="7FE27B36"/>
    <w:lvl w:ilvl="0" w:tplc="B754C9A6">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22C413A"/>
    <w:multiLevelType w:val="hybridMultilevel"/>
    <w:tmpl w:val="B71A005A"/>
    <w:lvl w:ilvl="0" w:tplc="96B29C3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4477A8"/>
    <w:multiLevelType w:val="hybridMultilevel"/>
    <w:tmpl w:val="7584D060"/>
    <w:lvl w:ilvl="0" w:tplc="72F244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5D1B2AA4"/>
    <w:multiLevelType w:val="hybridMultilevel"/>
    <w:tmpl w:val="7584D060"/>
    <w:lvl w:ilvl="0" w:tplc="72F244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783A1572"/>
    <w:multiLevelType w:val="hybridMultilevel"/>
    <w:tmpl w:val="7584D060"/>
    <w:lvl w:ilvl="0" w:tplc="72F2442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6"/>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2B11"/>
    <w:rsid w:val="003D47F1"/>
    <w:rsid w:val="00452B11"/>
    <w:rsid w:val="00701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1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B11"/>
    <w:pPr>
      <w:tabs>
        <w:tab w:val="center" w:pos="4680"/>
        <w:tab w:val="right" w:pos="9360"/>
      </w:tabs>
    </w:pPr>
  </w:style>
  <w:style w:type="character" w:customStyle="1" w:styleId="FooterChar">
    <w:name w:val="Footer Char"/>
    <w:basedOn w:val="DefaultParagraphFont"/>
    <w:link w:val="Footer"/>
    <w:uiPriority w:val="99"/>
    <w:rsid w:val="00452B11"/>
    <w:rPr>
      <w:rFonts w:ascii="Times New Roman" w:eastAsia="Times New Roman" w:hAnsi="Times New Roman" w:cs="Times New Roman"/>
      <w:sz w:val="24"/>
      <w:szCs w:val="24"/>
      <w:lang w:val="en-GB"/>
    </w:rPr>
  </w:style>
  <w:style w:type="paragraph" w:styleId="ListParagraph">
    <w:name w:val="List Paragraph"/>
    <w:basedOn w:val="Normal"/>
    <w:qFormat/>
    <w:rsid w:val="00452B11"/>
    <w:pPr>
      <w:ind w:left="720"/>
      <w:contextualSpacing/>
    </w:pPr>
  </w:style>
  <w:style w:type="paragraph" w:styleId="BalloonText">
    <w:name w:val="Balloon Text"/>
    <w:basedOn w:val="Normal"/>
    <w:link w:val="BalloonTextChar"/>
    <w:uiPriority w:val="99"/>
    <w:semiHidden/>
    <w:unhideWhenUsed/>
    <w:rsid w:val="00452B11"/>
    <w:rPr>
      <w:rFonts w:ascii="Tahoma" w:hAnsi="Tahoma" w:cs="Tahoma"/>
      <w:sz w:val="16"/>
      <w:szCs w:val="16"/>
    </w:rPr>
  </w:style>
  <w:style w:type="character" w:customStyle="1" w:styleId="BalloonTextChar">
    <w:name w:val="Balloon Text Char"/>
    <w:basedOn w:val="DefaultParagraphFont"/>
    <w:link w:val="BalloonText"/>
    <w:uiPriority w:val="99"/>
    <w:semiHidden/>
    <w:rsid w:val="00452B11"/>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2438</Words>
  <Characters>13900</Characters>
  <Application>Microsoft Office Word</Application>
  <DocSecurity>0</DocSecurity>
  <Lines>115</Lines>
  <Paragraphs>32</Paragraphs>
  <ScaleCrop>false</ScaleCrop>
  <Company>Grizli777</Company>
  <LinksUpToDate>false</LinksUpToDate>
  <CharactersWithSpaces>16306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2</cp:revision>
  <dcterms:created xsi:type="dcterms:W3CDTF">2017-05-16T08:42:00Z</dcterms:created>
  <dcterms:modified xsi:type="dcterms:W3CDTF">2017-05-16T08:45:00Z</dcterms:modified>
</cp:coreProperties>
</file>